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BFBFBF" w:sz="1"/>
              <w:left w:val="single" w:color="BFBFBF" w:sz="1"/>
              <w:bottom w:val="single" w:color="BFBFBF" w:sz="1"/>
              <w:right w:val="single" w:color="BFBFBF" w:sz="1"/>
            </w:tcBorders>
            <w:shd w:fill="1C2237" w:val="clear"/>
            <w:tcMar>
              <w:top w:type="dxa" w:w="40"/>
              <w:left w:type="dxa" w:w="120"/>
              <w:bottom w:type="dxa" w:w="40"/>
              <w:right w:type="dxa" w:w="120"/>
            </w:tcMar>
          </w:tcPr>
          <w:p>
            <w:pPr>
              <w:jc w:val="center"/>
            </w:pPr>
            <w:r>
              <w:rPr>
                <w:rFonts w:ascii="Arial" w:cs="Arial" w:eastAsia="Arial" w:hAnsi="Arial"/>
                <w:b/>
                <w:bCs/>
                <w:color w:val="FFFFFF"/>
                <w:sz w:val="16"/>
                <w:szCs w:val="16"/>
              </w:rPr>
              <w:t xml:space="preserve">CONFIDENTIAL  |  GRAND CANAL CAPITAL PARTNERS  |  PREPARED FOR SEGAT</w:t>
            </w:r>
          </w:p>
        </w:tc>
      </w:tr>
    </w:tbl>
    <w:p>
      <w:pPr>
        <w:spacing w:after="200"/>
      </w:pPr>
    </w:p>
    <w:p>
      <w:pPr>
        <w:spacing w:after="40"/>
        <w:jc w:val="left"/>
      </w:pPr>
      <w:r>
        <w:rPr>
          <w:rFonts w:ascii="Arial" w:cs="Arial" w:eastAsia="Arial" w:hAnsi="Arial"/>
          <w:b/>
          <w:bCs/>
          <w:color w:val="1C2237"/>
          <w:sz w:val="28"/>
          <w:szCs w:val="28"/>
        </w:rPr>
        <w:t xml:space="preserve">FRENCH MARKET TARGET RESEARCH NOTE</w:t>
      </w:r>
    </w:p>
    <w:p>
      <w:pPr>
        <w:spacing w:after="60"/>
        <w:jc w:val="left"/>
      </w:pPr>
      <w:r>
        <w:rPr>
          <w:rFonts w:ascii="Arial" w:cs="Arial" w:eastAsia="Arial" w:hAnsi="Arial"/>
          <w:color w:val="4A4F5C"/>
          <w:sz w:val="22"/>
          <w:szCs w:val="22"/>
        </w:rPr>
        <w:t xml:space="preserve">Carrefour SA — Ground Debt Opportunity | France Grocery</w:t>
      </w:r>
    </w:p>
    <w:p>
      <w:pPr>
        <w:spacing w:after="200"/>
        <w:jc w:val="left"/>
      </w:pPr>
      <w:r>
        <w:rPr>
          <w:rFonts w:ascii="Arial" w:cs="Arial" w:eastAsia="Arial" w:hAnsi="Arial"/>
          <w:i/>
          <w:iCs/>
          <w:color w:val="666666"/>
          <w:sz w:val="17"/>
          <w:szCs w:val="17"/>
        </w:rPr>
        <w:t xml:space="preserve">Market-sounding hypothesis — not a binding offer or commitment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6438"/>
      </w:tblGrid>
      <w:tr>
        <w:tc>
          <w:tcPr>
            <w:tcW w:type="dxa" w:w="32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Field</w:t>
            </w:r>
          </w:p>
        </w:tc>
        <w:tc>
          <w:tcPr>
            <w:tcW w:type="dxa" w:w="6438"/>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Detail</w:t>
            </w:r>
          </w:p>
        </w:tc>
      </w:tr>
      <w:tr>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Reference</w:t>
            </w:r>
          </w:p>
        </w:tc>
        <w:tc>
          <w:tcPr>
            <w:tcW w:type="dxa" w:w="64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FR-GR-01</w:t>
            </w:r>
          </w:p>
        </w:tc>
      </w:tr>
      <w:tr>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GCCP Lead</w:t>
            </w:r>
          </w:p>
        </w:tc>
        <w:tc>
          <w:tcPr>
            <w:tcW w:type="dxa" w:w="64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Aaron Sherlock / Dave Murray</w:t>
            </w:r>
          </w:p>
        </w:tc>
      </w:tr>
      <w:tr>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Date</w:t>
            </w:r>
          </w:p>
        </w:tc>
        <w:tc>
          <w:tcPr>
            <w:tcW w:type="dxa" w:w="64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3 April 2026 (v3)</w:t>
            </w:r>
          </w:p>
        </w:tc>
      </w:tr>
      <w:tr>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Sector</w:t>
            </w:r>
          </w:p>
        </w:tc>
        <w:tc>
          <w:tcPr>
            <w:tcW w:type="dxa" w:w="64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French Grocery</w:t>
            </w:r>
          </w:p>
        </w:tc>
      </w:tr>
      <w:tr>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Product</w:t>
            </w:r>
          </w:p>
        </w:tc>
        <w:tc>
          <w:tcPr>
            <w:tcW w:type="dxa" w:w="64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Ground Debt (bail emphytéotique)</w:t>
            </w:r>
          </w:p>
        </w:tc>
      </w:tr>
      <w:tr>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Estimated Facility</w:t>
            </w:r>
          </w:p>
        </w:tc>
        <w:tc>
          <w:tcPr>
            <w:tcW w:type="dxa" w:w="64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EUR 300–500m</w:t>
            </w:r>
          </w:p>
        </w:tc>
      </w:tr>
    </w:tbl>
    <w:p>
      <w:pPr>
        <w:spacing w:after="200"/>
      </w:pPr>
    </w:p>
    <w:p>
      <w:pPr>
        <w:pStyle w:val="Heading1"/>
        <w:spacing w:after="150" w:before="300"/>
      </w:pPr>
      <w:r>
        <w:rPr>
          <w:rFonts w:ascii="Arial" w:cs="Arial" w:eastAsia="Arial" w:hAnsi="Arial"/>
          <w:b/>
          <w:bCs/>
          <w:color w:val="1C2237"/>
          <w:sz w:val="24"/>
          <w:szCs w:val="24"/>
        </w:rPr>
        <w:t xml:space="preserve">1. Company Overview and Key Metrics</w:t>
      </w:r>
    </w:p>
    <w:p>
      <w:pPr>
        <w:spacing w:after="120"/>
      </w:pPr>
      <w:r>
        <w:rPr>
          <w:rFonts w:ascii="Arial" w:cs="Arial" w:eastAsia="Arial" w:hAnsi="Arial"/>
          <w:b w:val="false"/>
          <w:bCs w:val="false"/>
          <w:i w:val="false"/>
          <w:iCs w:val="false"/>
          <w:color w:val="333333"/>
          <w:sz w:val="18"/>
          <w:szCs w:val="18"/>
        </w:rPr>
        <w:t xml:space="preserve">Carrefour SA is the world’s 7th largest retailer (NRF/Kantar 2025), operating 325 hypermarkets and 1,167 supermarkets in France across the Carrefour, Carrefour Market, and Match brands. FY2025 group net sales were EUR 82.1bn (+2.8% like-for-like). The group is listed on Euronext Paris, rated BBB/Stable by S&amp;P (affirmed 2025), and has refocused on three core markets — France (c.51% of group sales), Spain, and Brazil — under the Carrefour 2030 strategic plan announced February 2026.</w:t>
      </w:r>
    </w:p>
    <w:p>
      <w:pPr>
        <w:spacing w:after="120"/>
      </w:pPr>
      <w:r>
        <w:rPr>
          <w:rFonts w:ascii="Arial" w:cs="Arial" w:eastAsia="Arial" w:hAnsi="Arial"/>
          <w:b w:val="false"/>
          <w:bCs w:val="false"/>
          <w:i w:val="false"/>
          <w:iCs w:val="false"/>
          <w:color w:val="333333"/>
          <w:sz w:val="18"/>
          <w:szCs w:val="18"/>
        </w:rPr>
        <w:t xml:space="preserve">Carrefour’s independently valued real estate portfolio across France, Spain, and Brazil totals EUR 14.2bn at year-end 2025 (CBRE, JLL, Colliers, EY). No standalone France-only freehold breakdown is published; GCCP estimates the France share at EUR 7.0–8.5bn as a working range based on proportionate contribution to group sales and EBITDA. The group targets annual real estate disposal income of EUR 200–300m p.a. under its 2030 plan, and has completed three sale-and-leaseback transactions with Supermarket Income REIT (SUPR) totalling c.EUR 235m across 46 French stores in 18 months — confirming Carrefour as a willing, experienced counterparty for real estate capital structures.</w:t>
      </w:r>
    </w:p>
    <w:p>
      <w:pPr>
        <w:pStyle w:val="Heading2"/>
        <w:spacing w:after="100" w:before="200"/>
      </w:pPr>
      <w:r>
        <w:rPr>
          <w:rFonts w:ascii="Arial" w:cs="Arial" w:eastAsia="Arial" w:hAnsi="Arial"/>
          <w:b/>
          <w:bCs/>
          <w:color w:val="4A4F5C"/>
          <w:sz w:val="21"/>
          <w:szCs w:val="21"/>
        </w:rPr>
        <w:t xml:space="preserve">Verified Key Metrics (FY2025)</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3200"/>
        <w:gridCol w:w="3238"/>
      </w:tblGrid>
      <w:tr>
        <w:tc>
          <w:tcPr>
            <w:tcW w:type="dxa" w:w="32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Metric</w:t>
            </w:r>
          </w:p>
        </w:tc>
        <w:tc>
          <w:tcPr>
            <w:tcW w:type="dxa" w:w="32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Value</w:t>
            </w:r>
          </w:p>
        </w:tc>
        <w:tc>
          <w:tcPr>
            <w:tcW w:type="dxa" w:w="3238"/>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Source</w:t>
            </w:r>
          </w:p>
        </w:tc>
      </w:tr>
      <w:tr>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EBITDA (FY2025)</w:t>
            </w:r>
          </w:p>
        </w:tc>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EUR 4,506m</w:t>
            </w:r>
          </w:p>
        </w:tc>
        <w:tc>
          <w:tcPr>
            <w:tcW w:type="dxa" w:w="32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AMF filing, 17 Feb 2026</w:t>
            </w:r>
          </w:p>
        </w:tc>
      </w:tr>
      <w:tr>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Net Debt (FY2025)</w:t>
            </w:r>
          </w:p>
        </w:tc>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EUR 3,965m</w:t>
            </w:r>
          </w:p>
        </w:tc>
        <w:tc>
          <w:tcPr>
            <w:tcW w:type="dxa" w:w="32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AMF filing</w:t>
            </w:r>
          </w:p>
        </w:tc>
      </w:tr>
      <w:tr>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Net Leverage</w:t>
            </w:r>
          </w:p>
        </w:tc>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0.88x</w:t>
            </w:r>
          </w:p>
        </w:tc>
        <w:tc>
          <w:tcPr>
            <w:tcW w:type="dxa" w:w="32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Calculated (debt/EBITDA)</w:t>
            </w:r>
          </w:p>
        </w:tc>
      </w:tr>
      <w:tr>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S&amp;P Rating</w:t>
            </w:r>
          </w:p>
        </w:tc>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BBB / Stable (affirmed 2025)</w:t>
            </w:r>
          </w:p>
        </w:tc>
        <w:tc>
          <w:tcPr>
            <w:tcW w:type="dxa" w:w="32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S&amp;P Global</w:t>
            </w:r>
          </w:p>
        </w:tc>
      </w:tr>
      <w:tr>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Net Sales</w:t>
            </w:r>
          </w:p>
        </w:tc>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EUR 82.1bn (+2.8% LFL)</w:t>
            </w:r>
          </w:p>
        </w:tc>
        <w:tc>
          <w:tcPr>
            <w:tcW w:type="dxa" w:w="32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AMF filing</w:t>
            </w:r>
          </w:p>
        </w:tc>
      </w:tr>
      <w:tr>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Rec. Operating Income</w:t>
            </w:r>
          </w:p>
        </w:tc>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EUR 2,158m (–5.4% YoY)</w:t>
            </w:r>
          </w:p>
        </w:tc>
        <w:tc>
          <w:tcPr>
            <w:tcW w:type="dxa" w:w="32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AMF filing</w:t>
            </w:r>
          </w:p>
        </w:tc>
      </w:tr>
      <w:tr>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Adjusted Net Income</w:t>
            </w:r>
          </w:p>
        </w:tc>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EUR 1,090m</w:t>
            </w:r>
          </w:p>
        </w:tc>
        <w:tc>
          <w:tcPr>
            <w:tcW w:type="dxa" w:w="32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AMF filing</w:t>
            </w:r>
          </w:p>
        </w:tc>
      </w:tr>
      <w:tr>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France ROI Margin</w:t>
            </w:r>
          </w:p>
        </w:tc>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3.0% (excl. Cora/Match)</w:t>
            </w:r>
          </w:p>
        </w:tc>
        <w:tc>
          <w:tcPr>
            <w:tcW w:type="dxa" w:w="32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Carrefour Results</w:t>
            </w:r>
          </w:p>
        </w:tc>
      </w:tr>
    </w:tbl>
    <w:p>
      <w:pPr>
        <w:spacing w:after="120"/>
      </w:pPr>
    </w:p>
    <w:p>
      <w:pPr>
        <w:pStyle w:val="Heading2"/>
        <w:spacing w:after="100" w:before="200"/>
      </w:pPr>
      <w:r>
        <w:rPr>
          <w:rFonts w:ascii="Arial" w:cs="Arial" w:eastAsia="Arial" w:hAnsi="Arial"/>
          <w:b/>
          <w:bCs/>
          <w:color w:val="4A4F5C"/>
          <w:sz w:val="21"/>
          <w:szCs w:val="21"/>
        </w:rPr>
        <w:t xml:space="preserve">GCCP Working Estimates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3200"/>
        <w:gridCol w:w="3238"/>
      </w:tblGrid>
      <w:tr>
        <w:tc>
          <w:tcPr>
            <w:tcW w:type="dxa" w:w="32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Metric</w:t>
            </w:r>
          </w:p>
        </w:tc>
        <w:tc>
          <w:tcPr>
            <w:tcW w:type="dxa" w:w="32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Estimate</w:t>
            </w:r>
          </w:p>
        </w:tc>
        <w:tc>
          <w:tcPr>
            <w:tcW w:type="dxa" w:w="3238"/>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Basis</w:t>
            </w:r>
          </w:p>
        </w:tc>
      </w:tr>
      <w:tr>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Group RE Portfolio</w:t>
            </w:r>
          </w:p>
        </w:tc>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EUR 14.2bn (FR/ES/BR)</w:t>
            </w:r>
          </w:p>
        </w:tc>
        <w:tc>
          <w:tcPr>
            <w:tcW w:type="dxa" w:w="32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Independently valued, YE2025</w:t>
            </w:r>
          </w:p>
        </w:tc>
      </w:tr>
      <w:tr>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France Share (est.)</w:t>
            </w:r>
          </w:p>
        </w:tc>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EUR 7.0–8.5bn</w:t>
            </w:r>
          </w:p>
        </w:tc>
        <w:tc>
          <w:tcPr>
            <w:tcW w:type="dxa" w:w="32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Working range — no standalone breakdown published</w:t>
            </w:r>
          </w:p>
        </w:tc>
      </w:tr>
      <w:tr>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French Market Share</w:t>
            </w:r>
          </w:p>
        </w:tc>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21.8% (Kantar 2025; highest in a decade, largely acquisition-driven)</w:t>
            </w:r>
          </w:p>
        </w:tc>
        <w:tc>
          <w:tcPr>
            <w:tcW w:type="dxa" w:w="32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Kantar / RetailDetail EU, Jan 2026</w:t>
            </w:r>
          </w:p>
        </w:tc>
      </w:tr>
    </w:tbl>
    <w:p>
      <w:pPr>
        <w:spacing w:after="120"/>
      </w:pPr>
    </w:p>
    <w:p>
      <w:pPr>
        <w:pStyle w:val="Heading2"/>
        <w:spacing w:after="100" w:before="200"/>
      </w:pPr>
      <w:r>
        <w:rPr>
          <w:rFonts w:ascii="Arial" w:cs="Arial" w:eastAsia="Arial" w:hAnsi="Arial"/>
          <w:b/>
          <w:bCs/>
          <w:color w:val="4A4F5C"/>
          <w:sz w:val="21"/>
          <w:szCs w:val="21"/>
        </w:rPr>
        <w:t xml:space="preserve">Three-Year Financial Trend</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200"/>
        <w:gridCol w:w="1800"/>
        <w:gridCol w:w="1800"/>
        <w:gridCol w:w="1600"/>
        <w:gridCol w:w="1600"/>
        <w:gridCol w:w="1638"/>
      </w:tblGrid>
      <w:tr>
        <w:tc>
          <w:tcPr>
            <w:tcW w:type="dxa" w:w="12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FY</w:t>
            </w:r>
          </w:p>
        </w:tc>
        <w:tc>
          <w:tcPr>
            <w:tcW w:type="dxa" w:w="18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EBITDA (€m)</w:t>
            </w:r>
          </w:p>
        </w:tc>
        <w:tc>
          <w:tcPr>
            <w:tcW w:type="dxa" w:w="18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Net Debt (€m)</w:t>
            </w:r>
          </w:p>
        </w:tc>
        <w:tc>
          <w:tcPr>
            <w:tcW w:type="dxa" w:w="16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Net Leverage</w:t>
            </w:r>
          </w:p>
        </w:tc>
        <w:tc>
          <w:tcPr>
            <w:tcW w:type="dxa" w:w="16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Net Income (€m)</w:t>
            </w:r>
          </w:p>
        </w:tc>
        <w:tc>
          <w:tcPr>
            <w:tcW w:type="dxa" w:w="1638"/>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Notes</w:t>
            </w:r>
          </w:p>
        </w:tc>
      </w:tr>
      <w:tr>
        <w:tc>
          <w:tcPr>
            <w:tcW w:type="dxa" w:w="1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2023</w:t>
            </w:r>
          </w:p>
        </w:tc>
        <w:tc>
          <w:tcPr>
            <w:tcW w:type="dxa" w:w="18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~4,559</w:t>
            </w:r>
          </w:p>
        </w:tc>
        <w:tc>
          <w:tcPr>
            <w:tcW w:type="dxa" w:w="18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~2,560</w:t>
            </w:r>
          </w:p>
        </w:tc>
        <w:tc>
          <w:tcPr>
            <w:tcW w:type="dxa" w:w="16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~0.56x</w:t>
            </w:r>
          </w:p>
        </w:tc>
        <w:tc>
          <w:tcPr>
            <w:tcW w:type="dxa" w:w="16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1,659</w:t>
            </w:r>
          </w:p>
        </w:tc>
        <w:tc>
          <w:tcPr>
            <w:tcW w:type="dxa" w:w="16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Incl. strategic disposals</w:t>
            </w:r>
          </w:p>
        </w:tc>
      </w:tr>
      <w:tr>
        <w:tc>
          <w:tcPr>
            <w:tcW w:type="dxa" w:w="1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2024*</w:t>
            </w:r>
          </w:p>
        </w:tc>
        <w:tc>
          <w:tcPr>
            <w:tcW w:type="dxa" w:w="18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4,522*</w:t>
            </w:r>
          </w:p>
        </w:tc>
        <w:tc>
          <w:tcPr>
            <w:tcW w:type="dxa" w:w="18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3,780</w:t>
            </w:r>
          </w:p>
        </w:tc>
        <w:tc>
          <w:tcPr>
            <w:tcW w:type="dxa" w:w="16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~0.84x</w:t>
            </w:r>
          </w:p>
        </w:tc>
        <w:tc>
          <w:tcPr>
            <w:tcW w:type="dxa" w:w="16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723</w:t>
            </w:r>
          </w:p>
        </w:tc>
        <w:tc>
          <w:tcPr>
            <w:tcW w:type="dxa" w:w="16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Cora/Match acquisition</w:t>
            </w:r>
          </w:p>
        </w:tc>
      </w:tr>
      <w:tr>
        <w:tc>
          <w:tcPr>
            <w:tcW w:type="dxa" w:w="1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2025</w:t>
            </w:r>
          </w:p>
        </w:tc>
        <w:tc>
          <w:tcPr>
            <w:tcW w:type="dxa" w:w="18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4,506</w:t>
            </w:r>
          </w:p>
        </w:tc>
        <w:tc>
          <w:tcPr>
            <w:tcW w:type="dxa" w:w="18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3,965</w:t>
            </w:r>
          </w:p>
        </w:tc>
        <w:tc>
          <w:tcPr>
            <w:tcW w:type="dxa" w:w="16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0.88x</w:t>
            </w:r>
          </w:p>
        </w:tc>
        <w:tc>
          <w:tcPr>
            <w:tcW w:type="dxa" w:w="16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319 (adj: 1,090)</w:t>
            </w:r>
          </w:p>
        </w:tc>
        <w:tc>
          <w:tcPr>
            <w:tcW w:type="dxa" w:w="16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Italy disposal; FX drag. Reported net income declining trend: €1,659m → €723m → €319m (adjusted stable at ~€1.1bn)</w:t>
            </w:r>
          </w:p>
        </w:tc>
      </w:tr>
    </w:tbl>
    <w:p>
      <w:pPr>
        <w:spacing w:after="120"/>
      </w:pPr>
      <w:r>
        <w:rPr>
          <w:rFonts w:ascii="Arial" w:cs="Arial" w:eastAsia="Arial" w:hAnsi="Arial"/>
          <w:b w:val="false"/>
          <w:bCs w:val="false"/>
          <w:i/>
          <w:iCs/>
          <w:color w:val="333333"/>
          <w:sz w:val="18"/>
          <w:szCs w:val="18"/>
        </w:rPr>
        <w:t xml:space="preserve">*EBITDA 2024 restated under IFRS 5 (Italy as discontinued operations). EBITDA remarkably stable in the EUR 4.5–4.6bn band across all three years.</w:t>
      </w:r>
    </w:p>
    <w:p>
      <w:pPr>
        <w:spacing w:after="120"/>
      </w:pPr>
      <w:r>
        <w:rPr>
          <w:rFonts w:ascii="Arial" w:cs="Arial" w:eastAsia="Arial" w:hAnsi="Arial"/>
          <w:b w:val="false"/>
          <w:bCs w:val="false"/>
          <w:i/>
          <w:iCs/>
          <w:color w:val="333333"/>
          <w:sz w:val="18"/>
          <w:szCs w:val="18"/>
        </w:rPr>
        <w:t xml:space="preserve">Source: Carrefour FY2025 Results Presentation filed with AMF, 17 February 2026.</w:t>
      </w:r>
    </w:p>
    <w:p>
      <w:r>
        <w:br w:type="page"/>
      </w:r>
    </w:p>
    <w:p>
      <w:pPr>
        <w:pStyle w:val="Heading1"/>
        <w:spacing w:after="150" w:before="300"/>
      </w:pPr>
      <w:r>
        <w:rPr>
          <w:rFonts w:ascii="Arial" w:cs="Arial" w:eastAsia="Arial" w:hAnsi="Arial"/>
          <w:b/>
          <w:bCs/>
          <w:color w:val="1C2237"/>
          <w:sz w:val="24"/>
          <w:szCs w:val="24"/>
        </w:rPr>
        <w:t xml:space="preserve">2. GCCP Assessment</w:t>
      </w:r>
    </w:p>
    <w:p>
      <w:pPr>
        <w:spacing w:after="120"/>
      </w:pPr>
      <w:r>
        <w:rPr>
          <w:rFonts w:ascii="Arial" w:cs="Arial" w:eastAsia="Arial" w:hAnsi="Arial"/>
          <w:b w:val="false"/>
          <w:bCs w:val="false"/>
          <w:i w:val="false"/>
          <w:iCs w:val="false"/>
          <w:color w:val="333333"/>
          <w:sz w:val="18"/>
          <w:szCs w:val="18"/>
        </w:rPr>
        <w:t xml:space="preserve">GCCP has identified Carrefour SA as a high-priority target for long-duration, fixed-rate Ground Debt origination in France. The investment case rests on three pillars: (1) investment-grade credit with exceptionally stable EBITDA (EUR 4.5–4.6bn over three consecutive years) and conservative leverage at 0.88x; (2) a large, independently valued French freehold estate estimated at EUR 7.0–8.5bn (working range — no standalone France breakdown published), with a proven track record of real estate monetisation; and (3) structural protection from CDAC/CNAC planning restrictions that make new hypermarket developments in France near-impossible, underpinning long-term site values.</w:t>
      </w:r>
    </w:p>
    <w:p>
      <w:pPr>
        <w:spacing w:after="120"/>
      </w:pPr>
      <w:r>
        <w:rPr>
          <w:rFonts w:ascii="Arial" w:cs="Arial" w:eastAsia="Arial" w:hAnsi="Arial"/>
          <w:b w:val="false"/>
          <w:bCs w:val="false"/>
          <w:i w:val="false"/>
          <w:iCs w:val="false"/>
          <w:color w:val="333333"/>
          <w:sz w:val="18"/>
          <w:szCs w:val="18"/>
        </w:rPr>
        <w:t xml:space="preserve">The primary risk is legal complexity. The bail emphytéotique structure has not been applied to French grocery assets at this scale. Carrefour’s EUR 12bn EMTN programme contains negative pledge provisions that must be reviewed before any approach — creation of a droit réel over specific properties may require EMTN trustee consent. GCCP considers this the single most important diligence item and recommends commissioning a French legal opinion before engaging Carrefour.</w:t>
      </w:r>
    </w:p>
    <w:p>
      <w:pPr>
        <w:spacing w:after="120"/>
      </w:pPr>
      <w:r>
        <w:rPr>
          <w:rFonts w:ascii="Arial" w:cs="Arial" w:eastAsia="Arial" w:hAnsi="Arial"/>
          <w:b w:val="false"/>
          <w:bCs w:val="false"/>
          <w:i w:val="false"/>
          <w:iCs w:val="false"/>
          <w:color w:val="333333"/>
          <w:sz w:val="18"/>
          <w:szCs w:val="18"/>
        </w:rPr>
        <w:t xml:space="preserve">A secondary consideration is format risk. Hypermarket like-for-like sales declined –1.1% in FY2025, while France convenience grew +3.3% in Q4 2025 (full-year figure to be confirmed). Carrefour is converting ~15 hypermarkets and ~40 supermarkets per year to franchise (location-gérance) under the 2030 plan. Ground Debt is primarily a group credit play secured on land value, not an asset-level performance bet — but site selection should favour locations with strongest catchment defensiveness.</w:t>
      </w:r>
    </w:p>
    <w:p>
      <w:pPr>
        <w:spacing w:after="120"/>
      </w:pPr>
      <w:r>
        <w:rPr>
          <w:rFonts w:ascii="Arial" w:cs="Arial" w:eastAsia="Arial" w:hAnsi="Arial"/>
          <w:b w:val="false"/>
          <w:bCs w:val="false"/>
          <w:i w:val="false"/>
          <w:iCs w:val="false"/>
          <w:color w:val="333333"/>
          <w:sz w:val="18"/>
          <w:szCs w:val="18"/>
        </w:rPr>
        <w:t xml:space="preserve">Subject to legal clearance, GCCP recommends proceeding to approach in Q2 2026.</w:t>
      </w:r>
    </w:p>
    <w:p>
      <w:pPr>
        <w:pStyle w:val="Heading1"/>
        <w:spacing w:after="150" w:before="300"/>
      </w:pPr>
      <w:r>
        <w:rPr>
          <w:rFonts w:ascii="Arial" w:cs="Arial" w:eastAsia="Arial" w:hAnsi="Arial"/>
          <w:b/>
          <w:bCs/>
          <w:color w:val="1C2237"/>
          <w:sz w:val="24"/>
          <w:szCs w:val="24"/>
        </w:rPr>
        <w:t xml:space="preserve">3. Proposed Structure</w:t>
      </w:r>
    </w:p>
    <w:p>
      <w:pPr>
        <w:spacing w:after="120"/>
      </w:pPr>
      <w:r>
        <w:rPr>
          <w:rFonts w:ascii="Arial" w:cs="Arial" w:eastAsia="Arial" w:hAnsi="Arial"/>
          <w:b w:val="false"/>
          <w:bCs w:val="false"/>
          <w:i w:val="false"/>
          <w:iCs w:val="false"/>
          <w:color w:val="333333"/>
          <w:sz w:val="18"/>
          <w:szCs w:val="18"/>
        </w:rPr>
        <w:t xml:space="preserve">The proposed structure is a Ground Debt facility using bail emphytéotique under French law. The lender acquires a long-term real property right over the land beneath selected Carrefour freehold stores. Carrefour retains full ownership of the buildings and continues to operate the stores without interruption.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6438"/>
      </w:tblGrid>
      <w:tr>
        <w:tc>
          <w:tcPr>
            <w:tcW w:type="dxa" w:w="32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Element</w:t>
            </w:r>
          </w:p>
        </w:tc>
        <w:tc>
          <w:tcPr>
            <w:tcW w:type="dxa" w:w="6438"/>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Detail</w:t>
            </w:r>
          </w:p>
        </w:tc>
      </w:tr>
      <w:tr>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Product</w:t>
            </w:r>
          </w:p>
        </w:tc>
        <w:tc>
          <w:tcPr>
            <w:tcW w:type="dxa" w:w="64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Ground Debt (bail emphytéotique, French law)</w:t>
            </w:r>
          </w:p>
        </w:tc>
      </w:tr>
      <w:tr>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Tenor</w:t>
            </w:r>
          </w:p>
        </w:tc>
        <w:tc>
          <w:tcPr>
            <w:tcW w:type="dxa" w:w="64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30–55 years</w:t>
            </w:r>
          </w:p>
        </w:tc>
      </w:tr>
      <w:tr>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Estimated Facility Size</w:t>
            </w:r>
          </w:p>
        </w:tc>
        <w:tc>
          <w:tcPr>
            <w:tcW w:type="dxa" w:w="64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EUR 300–500m</w:t>
            </w:r>
          </w:p>
        </w:tc>
      </w:tr>
      <w:tr>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Indexation</w:t>
            </w:r>
          </w:p>
        </w:tc>
        <w:tc>
          <w:tcPr>
            <w:tcW w:type="dxa" w:w="64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EUR fixed uplifts (annual)</w:t>
            </w:r>
          </w:p>
        </w:tc>
      </w:tr>
      <w:tr>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Security</w:t>
            </w:r>
          </w:p>
        </w:tc>
        <w:tc>
          <w:tcPr>
            <w:tcW w:type="dxa" w:w="64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Bail emphytéotique — real property right on land (Code Rural + Code Civil)</w:t>
            </w:r>
          </w:p>
        </w:tc>
      </w:tr>
      <w:tr>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Borrower Retains</w:t>
            </w:r>
          </w:p>
        </w:tc>
        <w:tc>
          <w:tcPr>
            <w:tcW w:type="dxa" w:w="64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Freehold ownership of supermarket buildings above ground</w:t>
            </w:r>
          </w:p>
        </w:tc>
      </w:tr>
      <w:tr>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Intercreditor Consideration</w:t>
            </w:r>
          </w:p>
        </w:tc>
        <w:tc>
          <w:tcPr>
            <w:tcW w:type="dxa" w:w="64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EMTN negative pledge review required before approach</w:t>
            </w:r>
          </w:p>
        </w:tc>
      </w:tr>
    </w:tbl>
    <w:p>
      <w:pPr>
        <w:spacing w:after="100"/>
      </w:pPr>
    </w:p>
    <w:p>
      <w:pPr>
        <w:spacing w:after="120"/>
      </w:pPr>
      <w:r>
        <w:rPr>
          <w:rFonts w:ascii="Arial" w:cs="Arial" w:eastAsia="Arial" w:hAnsi="Arial"/>
          <w:b w:val="false"/>
          <w:bCs w:val="false"/>
          <w:i w:val="false"/>
          <w:iCs w:val="false"/>
          <w:color w:val="333333"/>
          <w:sz w:val="18"/>
          <w:szCs w:val="18"/>
        </w:rPr>
        <w:t xml:space="preserve">Reference precedent: Morrisons (UK) — 76 supermarkets, freehold, 45-year Ground Debt, GBP 370m. The Carrefour opportunity follows the same structural template, applied to the French market.</w:t>
      </w:r>
    </w:p>
    <w:p>
      <w:pPr>
        <w:pStyle w:val="Heading1"/>
        <w:spacing w:after="150" w:before="300"/>
      </w:pPr>
      <w:r>
        <w:rPr>
          <w:rFonts w:ascii="Arial" w:cs="Arial" w:eastAsia="Arial" w:hAnsi="Arial"/>
          <w:b/>
          <w:bCs/>
          <w:color w:val="1C2237"/>
          <w:sz w:val="24"/>
          <w:szCs w:val="24"/>
        </w:rPr>
        <w:t xml:space="preserve">4. Financial Summary and Asset Pool</w:t>
      </w:r>
    </w:p>
    <w:p>
      <w:pPr>
        <w:pStyle w:val="Heading2"/>
        <w:spacing w:after="100" w:before="200"/>
      </w:pPr>
      <w:r>
        <w:rPr>
          <w:rFonts w:ascii="Arial" w:cs="Arial" w:eastAsia="Arial" w:hAnsi="Arial"/>
          <w:b/>
          <w:bCs/>
          <w:color w:val="4A4F5C"/>
          <w:sz w:val="21"/>
          <w:szCs w:val="21"/>
        </w:rPr>
        <w:t xml:space="preserve">Verified Financial Metrics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3200"/>
        <w:gridCol w:w="3238"/>
      </w:tblGrid>
      <w:tr>
        <w:tc>
          <w:tcPr>
            <w:tcW w:type="dxa" w:w="32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Metric</w:t>
            </w:r>
          </w:p>
        </w:tc>
        <w:tc>
          <w:tcPr>
            <w:tcW w:type="dxa" w:w="32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Value</w:t>
            </w:r>
          </w:p>
        </w:tc>
        <w:tc>
          <w:tcPr>
            <w:tcW w:type="dxa" w:w="3238"/>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Source</w:t>
            </w:r>
          </w:p>
        </w:tc>
      </w:tr>
      <w:tr>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EBITDA (FY2025)</w:t>
            </w:r>
          </w:p>
        </w:tc>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EUR 4,506m</w:t>
            </w:r>
          </w:p>
        </w:tc>
        <w:tc>
          <w:tcPr>
            <w:tcW w:type="dxa" w:w="32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AMF filing, 17 Feb 2026</w:t>
            </w:r>
          </w:p>
        </w:tc>
      </w:tr>
      <w:tr>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Net Debt (FY2025)</w:t>
            </w:r>
          </w:p>
        </w:tc>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EUR 3,965m</w:t>
            </w:r>
          </w:p>
        </w:tc>
        <w:tc>
          <w:tcPr>
            <w:tcW w:type="dxa" w:w="32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AMF filing</w:t>
            </w:r>
          </w:p>
        </w:tc>
      </w:tr>
      <w:tr>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Net Leverage</w:t>
            </w:r>
          </w:p>
        </w:tc>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0.88x</w:t>
            </w:r>
          </w:p>
        </w:tc>
        <w:tc>
          <w:tcPr>
            <w:tcW w:type="dxa" w:w="32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Calculated</w:t>
            </w:r>
          </w:p>
        </w:tc>
      </w:tr>
      <w:tr>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S&amp;P Credit Rating</w:t>
            </w:r>
          </w:p>
        </w:tc>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BBB / Stable (affirmed 2025)</w:t>
            </w:r>
          </w:p>
        </w:tc>
        <w:tc>
          <w:tcPr>
            <w:tcW w:type="dxa" w:w="32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S&amp;P Global</w:t>
            </w:r>
          </w:p>
        </w:tc>
      </w:tr>
      <w:tr>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IFRS 16 Lease Liabilities</w:t>
            </w:r>
          </w:p>
        </w:tc>
        <w:tc>
          <w:tcPr>
            <w:tcW w:type="dxa" w:w="3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~EUR 5.1bn (excl. from net debt)</w:t>
            </w:r>
          </w:p>
        </w:tc>
        <w:tc>
          <w:tcPr>
            <w:tcW w:type="dxa" w:w="32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Carrefour Annual Report</w:t>
            </w:r>
          </w:p>
        </w:tc>
      </w:tr>
      <w:tr>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Revenue Type</w:t>
            </w:r>
          </w:p>
        </w:tc>
        <w:tc>
          <w:tcPr>
            <w:tcW w:type="dxa" w:w="3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French grocery — essential, non-discretionary</w:t>
            </w:r>
          </w:p>
        </w:tc>
        <w:tc>
          <w:tcPr>
            <w:tcW w:type="dxa" w:w="32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GCCP analysis</w:t>
            </w:r>
          </w:p>
        </w:tc>
      </w:tr>
    </w:tbl>
    <w:p>
      <w:pPr>
        <w:spacing w:after="80"/>
      </w:pPr>
    </w:p>
    <w:p>
      <w:pPr>
        <w:spacing w:after="120"/>
      </w:pPr>
      <w:r>
        <w:rPr>
          <w:rFonts w:ascii="Arial" w:cs="Arial" w:eastAsia="Arial" w:hAnsi="Arial"/>
          <w:b w:val="false"/>
          <w:bCs w:val="false"/>
          <w:i/>
          <w:iCs/>
          <w:color w:val="333333"/>
          <w:sz w:val="18"/>
          <w:szCs w:val="18"/>
        </w:rPr>
        <w:t xml:space="preserve">Note: Lease-adjusted leverage is materially higher than the 0.88x headline figure due to IFRS 16 lease liabilities. Any structuring discussion would need to address the accounting treatment of the canon emphytéotique and its interaction with Carrefour’s BBB rating covenants.</w:t>
      </w:r>
    </w:p>
    <w:p>
      <w:pPr>
        <w:pStyle w:val="Heading2"/>
        <w:spacing w:after="100" w:before="200"/>
      </w:pPr>
      <w:r>
        <w:rPr>
          <w:rFonts w:ascii="Arial" w:cs="Arial" w:eastAsia="Arial" w:hAnsi="Arial"/>
          <w:b/>
          <w:bCs/>
          <w:color w:val="4A4F5C"/>
          <w:sz w:val="21"/>
          <w:szCs w:val="21"/>
        </w:rPr>
        <w:t xml:space="preserve">Asset Pool</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4200"/>
        <w:gridCol w:w="2438"/>
      </w:tblGrid>
      <w:tr>
        <w:tc>
          <w:tcPr>
            <w:tcW w:type="dxa" w:w="30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Parameter</w:t>
            </w:r>
          </w:p>
        </w:tc>
        <w:tc>
          <w:tcPr>
            <w:tcW w:type="dxa" w:w="42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Detail</w:t>
            </w:r>
          </w:p>
        </w:tc>
        <w:tc>
          <w:tcPr>
            <w:tcW w:type="dxa" w:w="2438"/>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Confidence</w:t>
            </w:r>
          </w:p>
        </w:tc>
      </w:tr>
      <w:tr>
        <w:tc>
          <w:tcPr>
            <w:tcW w:type="dxa" w:w="30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Asset Type</w:t>
            </w:r>
          </w:p>
        </w:tc>
        <w:tc>
          <w:tcPr>
            <w:tcW w:type="dxa" w:w="4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French hypermarkets + Carrefour Market supermarkets</w:t>
            </w:r>
          </w:p>
        </w:tc>
        <w:tc>
          <w:tcPr>
            <w:tcW w:type="dxa" w:w="24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High</w:t>
            </w:r>
          </w:p>
        </w:tc>
      </w:tr>
      <w:tr>
        <w:tc>
          <w:tcPr>
            <w:tcW w:type="dxa" w:w="30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Operator</w:t>
            </w:r>
          </w:p>
        </w:tc>
        <w:tc>
          <w:tcPr>
            <w:tcW w:type="dxa" w:w="4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Carrefour SA (operating since 1959)</w:t>
            </w:r>
          </w:p>
        </w:tc>
        <w:tc>
          <w:tcPr>
            <w:tcW w:type="dxa" w:w="24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High</w:t>
            </w:r>
          </w:p>
        </w:tc>
      </w:tr>
      <w:tr>
        <w:tc>
          <w:tcPr>
            <w:tcW w:type="dxa" w:w="30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Group RE Portfolio</w:t>
            </w:r>
          </w:p>
        </w:tc>
        <w:tc>
          <w:tcPr>
            <w:tcW w:type="dxa" w:w="4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EUR 14.2bn (France + Spain + Brazil, YE2025)</w:t>
            </w:r>
          </w:p>
        </w:tc>
        <w:tc>
          <w:tcPr>
            <w:tcW w:type="dxa" w:w="24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High — independently valued</w:t>
            </w:r>
          </w:p>
        </w:tc>
      </w:tr>
      <w:tr>
        <w:tc>
          <w:tcPr>
            <w:tcW w:type="dxa" w:w="30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France Share (est.)</w:t>
            </w:r>
          </w:p>
        </w:tc>
        <w:tc>
          <w:tcPr>
            <w:tcW w:type="dxa" w:w="4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EUR 7.0–8.5bn (working range)</w:t>
            </w:r>
          </w:p>
        </w:tc>
        <w:tc>
          <w:tcPr>
            <w:tcW w:type="dxa" w:w="24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Medium — no standalone breakdown published</w:t>
            </w:r>
          </w:p>
        </w:tc>
      </w:tr>
      <w:tr>
        <w:tc>
          <w:tcPr>
            <w:tcW w:type="dxa" w:w="30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French Store Network</w:t>
            </w:r>
          </w:p>
        </w:tc>
        <w:tc>
          <w:tcPr>
            <w:tcW w:type="dxa" w:w="4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325 hypermarkets + 1,167 supermarkets (incl. Cora/Match)</w:t>
            </w:r>
          </w:p>
        </w:tc>
        <w:tc>
          <w:tcPr>
            <w:tcW w:type="dxa" w:w="24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High</w:t>
            </w:r>
          </w:p>
        </w:tc>
      </w:tr>
      <w:tr>
        <w:tc>
          <w:tcPr>
            <w:tcW w:type="dxa" w:w="30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Cora/Match PP&amp;E</w:t>
            </w:r>
          </w:p>
        </w:tc>
        <w:tc>
          <w:tcPr>
            <w:tcW w:type="dxa" w:w="4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~EUR 1,249m fair value (60 Cora hypers acquired Jul 2024; some subsequently divested per competition authority)</w:t>
            </w:r>
          </w:p>
        </w:tc>
        <w:tc>
          <w:tcPr>
            <w:tcW w:type="dxa" w:w="24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Medium — source to be confirmed</w:t>
            </w:r>
          </w:p>
        </w:tc>
      </w:tr>
      <w:tr>
        <w:tc>
          <w:tcPr>
            <w:tcW w:type="dxa" w:w="30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Planning Protection</w:t>
            </w:r>
          </w:p>
        </w:tc>
        <w:tc>
          <w:tcPr>
            <w:tcW w:type="dxa" w:w="4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CDAC/CNAC authorisation requirements severely constrain new large-format retail development in France</w:t>
            </w:r>
          </w:p>
        </w:tc>
        <w:tc>
          <w:tcPr>
            <w:tcW w:type="dxa" w:w="24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High</w:t>
            </w:r>
          </w:p>
        </w:tc>
      </w:tr>
      <w:tr>
        <w:tc>
          <w:tcPr>
            <w:tcW w:type="dxa" w:w="30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Carmila JV</w:t>
            </w:r>
          </w:p>
        </w:tc>
        <w:tc>
          <w:tcPr>
            <w:tcW w:type="dxa" w:w="4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~29.8% stake (post June 2025 disposal of 7%); 126+45 retail park sites — separate from Ground Debt pool</w:t>
            </w:r>
          </w:p>
        </w:tc>
        <w:tc>
          <w:tcPr>
            <w:tcW w:type="dxa" w:w="24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High</w:t>
            </w:r>
          </w:p>
        </w:tc>
      </w:tr>
    </w:tbl>
    <w:p>
      <w:r>
        <w:br w:type="page"/>
      </w:r>
    </w:p>
    <w:p>
      <w:pPr>
        <w:pStyle w:val="Heading1"/>
        <w:spacing w:after="150" w:before="300"/>
      </w:pPr>
      <w:r>
        <w:rPr>
          <w:rFonts w:ascii="Arial" w:cs="Arial" w:eastAsia="Arial" w:hAnsi="Arial"/>
          <w:b/>
          <w:bCs/>
          <w:color w:val="1C2237"/>
          <w:sz w:val="24"/>
          <w:szCs w:val="24"/>
        </w:rPr>
        <w:t xml:space="preserve">5. Competitive Landscape</w:t>
      </w:r>
    </w:p>
    <w:p>
      <w:pPr>
        <w:spacing w:after="120"/>
      </w:pPr>
      <w:r>
        <w:rPr>
          <w:rFonts w:ascii="Arial" w:cs="Arial" w:eastAsia="Arial" w:hAnsi="Arial"/>
          <w:b w:val="false"/>
          <w:bCs w:val="false"/>
          <w:i w:val="false"/>
          <w:iCs w:val="false"/>
          <w:color w:val="333333"/>
          <w:sz w:val="18"/>
          <w:szCs w:val="18"/>
        </w:rPr>
        <w:t xml:space="preserve">Carrefour has been active in real estate monetisation through Supermarket Income REIT (SUPR), completing three sale-and-leaseback transactions in 18 months totalling c.EUR 235m across 46 French stores. The verified SUPR transaction register is as follows:</w:t>
      </w:r>
    </w:p>
    <w:p>
      <w:pPr>
        <w:pStyle w:val="Heading2"/>
        <w:spacing w:after="100" w:before="200"/>
      </w:pPr>
      <w:r>
        <w:rPr>
          <w:rFonts w:ascii="Arial" w:cs="Arial" w:eastAsia="Arial" w:hAnsi="Arial"/>
          <w:b/>
          <w:bCs/>
          <w:color w:val="4A4F5C"/>
          <w:sz w:val="21"/>
          <w:szCs w:val="21"/>
        </w:rPr>
        <w:t xml:space="preserve">SUPR Transaction Register (Verified)</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800"/>
        <w:gridCol w:w="1200"/>
        <w:gridCol w:w="1200"/>
        <w:gridCol w:w="1800"/>
        <w:gridCol w:w="1200"/>
        <w:gridCol w:w="2438"/>
      </w:tblGrid>
      <w:tr>
        <w:tc>
          <w:tcPr>
            <w:tcW w:type="dxa" w:w="18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Transaction</w:t>
            </w:r>
          </w:p>
        </w:tc>
        <w:tc>
          <w:tcPr>
            <w:tcW w:type="dxa" w:w="12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Date</w:t>
            </w:r>
          </w:p>
        </w:tc>
        <w:tc>
          <w:tcPr>
            <w:tcW w:type="dxa" w:w="12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Stores</w:t>
            </w:r>
          </w:p>
        </w:tc>
        <w:tc>
          <w:tcPr>
            <w:tcW w:type="dxa" w:w="18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Consideration</w:t>
            </w:r>
          </w:p>
        </w:tc>
        <w:tc>
          <w:tcPr>
            <w:tcW w:type="dxa" w:w="12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NIY</w:t>
            </w:r>
          </w:p>
        </w:tc>
        <w:tc>
          <w:tcPr>
            <w:tcW w:type="dxa" w:w="2438"/>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Rent Review</w:t>
            </w:r>
          </w:p>
        </w:tc>
      </w:tr>
      <w:tr>
        <w:tc>
          <w:tcPr>
            <w:tcW w:type="dxa" w:w="18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Deal 1 — France debut</w:t>
            </w:r>
          </w:p>
        </w:tc>
        <w:tc>
          <w:tcPr>
            <w:tcW w:type="dxa" w:w="1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Apr 2024</w:t>
            </w:r>
          </w:p>
        </w:tc>
        <w:tc>
          <w:tcPr>
            <w:tcW w:type="dxa" w:w="1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17</w:t>
            </w:r>
          </w:p>
        </w:tc>
        <w:tc>
          <w:tcPr>
            <w:tcW w:type="dxa" w:w="18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c.EUR 75m</w:t>
            </w:r>
          </w:p>
        </w:tc>
        <w:tc>
          <w:tcPr>
            <w:tcW w:type="dxa" w:w="1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~6.3%</w:t>
            </w:r>
          </w:p>
        </w:tc>
        <w:tc>
          <w:tcPr>
            <w:tcW w:type="dxa" w:w="24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Uncapped annual CPI</w:t>
            </w:r>
          </w:p>
        </w:tc>
      </w:tr>
      <w:tr>
        <w:tc>
          <w:tcPr>
            <w:tcW w:type="dxa" w:w="18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Deal 2</w:t>
            </w:r>
          </w:p>
        </w:tc>
        <w:tc>
          <w:tcPr>
            <w:tcW w:type="dxa" w:w="1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Feb 2025</w:t>
            </w:r>
          </w:p>
        </w:tc>
        <w:tc>
          <w:tcPr>
            <w:tcW w:type="dxa" w:w="1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9 (+1 cond.)</w:t>
            </w:r>
          </w:p>
        </w:tc>
        <w:tc>
          <w:tcPr>
            <w:tcW w:type="dxa" w:w="18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EUR 36.7m</w:t>
            </w:r>
          </w:p>
        </w:tc>
        <w:tc>
          <w:tcPr>
            <w:tcW w:type="dxa" w:w="1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~6.8%</w:t>
            </w:r>
          </w:p>
        </w:tc>
        <w:tc>
          <w:tcPr>
            <w:tcW w:type="dxa" w:w="24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Uncapped annual CPI</w:t>
            </w:r>
          </w:p>
        </w:tc>
      </w:tr>
      <w:tr>
        <w:tc>
          <w:tcPr>
            <w:tcW w:type="dxa" w:w="18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Deal 3 — hyper format</w:t>
            </w:r>
          </w:p>
        </w:tc>
        <w:tc>
          <w:tcPr>
            <w:tcW w:type="dxa" w:w="1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Nov 2025</w:t>
            </w:r>
          </w:p>
        </w:tc>
        <w:tc>
          <w:tcPr>
            <w:tcW w:type="dxa" w:w="1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20</w:t>
            </w:r>
          </w:p>
        </w:tc>
        <w:tc>
          <w:tcPr>
            <w:tcW w:type="dxa" w:w="18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EUR 123m</w:t>
            </w:r>
          </w:p>
        </w:tc>
        <w:tc>
          <w:tcPr>
            <w:tcW w:type="dxa" w:w="1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6.6%</w:t>
            </w:r>
          </w:p>
        </w:tc>
        <w:tc>
          <w:tcPr>
            <w:tcW w:type="dxa" w:w="24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Uncapped annual CPI</w:t>
            </w:r>
          </w:p>
        </w:tc>
      </w:tr>
      <w:tr>
        <w:tc>
          <w:tcPr>
            <w:tcW w:type="dxa" w:w="18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1C2237"/>
                <w:sz w:val="18"/>
                <w:szCs w:val="18"/>
              </w:rPr>
              <w:t xml:space="preserve">TOTAL</w:t>
            </w:r>
          </w:p>
        </w:tc>
        <w:tc>
          <w:tcPr>
            <w:tcW w:type="dxa" w:w="1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w:t>
            </w:r>
          </w:p>
        </w:tc>
        <w:tc>
          <w:tcPr>
            <w:tcW w:type="dxa" w:w="1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46</w:t>
            </w:r>
          </w:p>
        </w:tc>
        <w:tc>
          <w:tcPr>
            <w:tcW w:type="dxa" w:w="18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c.EUR 235m</w:t>
            </w:r>
          </w:p>
        </w:tc>
        <w:tc>
          <w:tcPr>
            <w:tcW w:type="dxa" w:w="1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6.3–6.8%</w:t>
            </w:r>
          </w:p>
        </w:tc>
        <w:tc>
          <w:tcPr>
            <w:tcW w:type="dxa" w:w="24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Uncapped annual CPI</w:t>
            </w:r>
          </w:p>
        </w:tc>
      </w:tr>
    </w:tbl>
    <w:p>
      <w:pPr>
        <w:spacing w:after="120"/>
      </w:pPr>
      <w:r>
        <w:rPr>
          <w:rFonts w:ascii="Arial" w:cs="Arial" w:eastAsia="Arial" w:hAnsi="Arial"/>
          <w:b w:val="false"/>
          <w:bCs w:val="false"/>
          <w:i/>
          <w:iCs/>
          <w:color w:val="333333"/>
          <w:sz w:val="18"/>
          <w:szCs w:val="18"/>
        </w:rPr>
        <w:t xml:space="preserve">Source: SUPR RNS announcements (Apr 2024, Feb 2025, Nov 2025).</w:t>
      </w:r>
    </w:p>
    <w:p>
      <w:pPr>
        <w:spacing w:after="100"/>
      </w:pPr>
    </w:p>
    <w:p>
      <w:pPr>
        <w:spacing w:after="120"/>
      </w:pPr>
      <w:r>
        <w:rPr>
          <w:rFonts w:ascii="Arial" w:cs="Arial" w:eastAsia="Arial" w:hAnsi="Arial"/>
          <w:b w:val="false"/>
          <w:bCs w:val="false"/>
          <w:i w:val="false"/>
          <w:iCs w:val="false"/>
          <w:color w:val="333333"/>
          <w:sz w:val="18"/>
          <w:szCs w:val="18"/>
        </w:rPr>
        <w:t xml:space="preserve">Deal 3 economics: average store ~4,088 sqm, passing rent ~EUR 104/sqm annually, capital value ~EUR 1,496/sqm. Implied yield to SUPR investors on these transactions: 6.3–6.8%.</w:t>
      </w:r>
    </w:p>
    <w:p>
      <w:pPr>
        <w:pStyle w:val="Heading2"/>
        <w:spacing w:after="100" w:before="200"/>
      </w:pPr>
      <w:r>
        <w:rPr>
          <w:rFonts w:ascii="Arial" w:cs="Arial" w:eastAsia="Arial" w:hAnsi="Arial"/>
          <w:b/>
          <w:bCs/>
          <w:color w:val="4A4F5C"/>
          <w:sz w:val="21"/>
          <w:szCs w:val="21"/>
        </w:rPr>
        <w:t xml:space="preserve">Ground Debt Differentiation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3600"/>
        <w:gridCol w:w="3638"/>
      </w:tblGrid>
      <w:tr>
        <w:tc>
          <w:tcPr>
            <w:tcW w:type="dxa" w:w="24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Existing Structure</w:t>
            </w:r>
          </w:p>
        </w:tc>
        <w:tc>
          <w:tcPr>
            <w:tcW w:type="dxa" w:w="36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Terms</w:t>
            </w:r>
          </w:p>
        </w:tc>
        <w:tc>
          <w:tcPr>
            <w:tcW w:type="dxa" w:w="3638"/>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Ground Debt Differentiation</w:t>
            </w:r>
          </w:p>
        </w:tc>
      </w:tr>
      <w:tr>
        <w:tc>
          <w:tcPr>
            <w:tcW w:type="dxa" w:w="24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SUPR Sale-and-Leaseback</w:t>
            </w:r>
          </w:p>
        </w:tc>
        <w:tc>
          <w:tcPr>
            <w:tcW w:type="dxa" w:w="36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12yr WALT, uncapped annual CPI, full property transfer</w:t>
            </w:r>
          </w:p>
        </w:tc>
        <w:tc>
          <w:tcPr>
            <w:tcW w:type="dxa" w:w="36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Operator retains freehold; 30yr+ tenor; fixed-rate certainty</w:t>
            </w:r>
          </w:p>
        </w:tc>
      </w:tr>
      <w:tr>
        <w:tc>
          <w:tcPr>
            <w:tcW w:type="dxa" w:w="24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French bank bilateral</w:t>
            </w:r>
          </w:p>
        </w:tc>
        <w:tc>
          <w:tcPr>
            <w:tcW w:type="dxa" w:w="36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5–10yr, variable rate</w:t>
            </w:r>
          </w:p>
        </w:tc>
        <w:tc>
          <w:tcPr>
            <w:tcW w:type="dxa" w:w="36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Dramatically longer tenor; no refinancing risk</w:t>
            </w:r>
          </w:p>
        </w:tc>
      </w:tr>
      <w:tr>
        <w:tc>
          <w:tcPr>
            <w:tcW w:type="dxa" w:w="24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EMTN bond programme</w:t>
            </w:r>
          </w:p>
        </w:tc>
        <w:tc>
          <w:tcPr>
            <w:tcW w:type="dxa" w:w="36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EUR 12bn, fixed coupon, 5–10yr tranches</w:t>
            </w:r>
          </w:p>
        </w:tc>
        <w:tc>
          <w:tcPr>
            <w:tcW w:type="dxa" w:w="36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Separate real property right; non-dilutive to bond stack</w:t>
            </w:r>
          </w:p>
        </w:tc>
      </w:tr>
    </w:tbl>
    <w:p>
      <w:pPr>
        <w:spacing w:after="100"/>
      </w:pPr>
    </w:p>
    <w:p>
      <w:pPr>
        <w:spacing w:after="120"/>
      </w:pPr>
      <w:r>
        <w:rPr>
          <w:rFonts w:ascii="Arial" w:cs="Arial" w:eastAsia="Arial" w:hAnsi="Arial"/>
          <w:b w:val="false"/>
          <w:bCs w:val="false"/>
          <w:i w:val="false"/>
          <w:iCs w:val="false"/>
          <w:color w:val="333333"/>
          <w:sz w:val="18"/>
          <w:szCs w:val="18"/>
        </w:rPr>
        <w:t xml:space="preserve">Ground Debt is complementary to Carrefour’s existing capital structure, not competitive. It provides long-duration fixed-rate capital secured on the land element only, while Carrefour retains full operational control and freehold ownership of the buildings.</w:t>
      </w:r>
    </w:p>
    <w:p>
      <w:pPr>
        <w:pStyle w:val="Heading1"/>
        <w:spacing w:after="150" w:before="300"/>
      </w:pPr>
      <w:r>
        <w:rPr>
          <w:rFonts w:ascii="Arial" w:cs="Arial" w:eastAsia="Arial" w:hAnsi="Arial"/>
          <w:b/>
          <w:bCs/>
          <w:color w:val="1C2237"/>
          <w:sz w:val="24"/>
          <w:szCs w:val="24"/>
        </w:rPr>
        <w:t xml:space="preserve">6. Key Contacts and Segat Opportunity</w:t>
      </w:r>
    </w:p>
    <w:p>
      <w:pPr>
        <w:spacing w:after="120"/>
      </w:pPr>
      <w:r>
        <w:rPr>
          <w:rFonts w:ascii="Arial" w:cs="Arial" w:eastAsia="Arial" w:hAnsi="Arial"/>
          <w:b w:val="false"/>
          <w:bCs w:val="false"/>
          <w:i w:val="false"/>
          <w:iCs w:val="false"/>
          <w:color w:val="333333"/>
          <w:sz w:val="18"/>
          <w:szCs w:val="18"/>
        </w:rPr>
        <w:t xml:space="preserve">GCCP has identified the following contacts from public sources. We are seeking Segat’s input on whether existing relationships or alternative entry points are available through Segat’s network.</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2800"/>
        <w:gridCol w:w="1838"/>
      </w:tblGrid>
      <w:tr>
        <w:tc>
          <w:tcPr>
            <w:tcW w:type="dxa" w:w="22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Name</w:t>
            </w:r>
          </w:p>
        </w:tc>
        <w:tc>
          <w:tcPr>
            <w:tcW w:type="dxa" w:w="28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Title</w:t>
            </w:r>
          </w:p>
        </w:tc>
        <w:tc>
          <w:tcPr>
            <w:tcW w:type="dxa" w:w="28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Relevance</w:t>
            </w:r>
          </w:p>
        </w:tc>
        <w:tc>
          <w:tcPr>
            <w:tcW w:type="dxa" w:w="1838"/>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GCCP Status</w:t>
            </w:r>
          </w:p>
        </w:tc>
      </w:tr>
      <w:tr>
        <w:tc>
          <w:tcPr>
            <w:tcW w:type="dxa" w:w="2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Matthieu Malige</w:t>
            </w:r>
          </w:p>
        </w:tc>
        <w:tc>
          <w:tcPr>
            <w:tcW w:type="dxa" w:w="28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CFO, Carrefour SA</w:t>
            </w:r>
          </w:p>
        </w:tc>
        <w:tc>
          <w:tcPr>
            <w:tcW w:type="dxa" w:w="28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C-suite decision-maker (ex-FNAC Darty CFO)</w:t>
            </w:r>
          </w:p>
        </w:tc>
        <w:tc>
          <w:tcPr>
            <w:tcW w:type="dxa" w:w="18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Identified — no relationship</w:t>
            </w:r>
          </w:p>
        </w:tc>
      </w:tr>
      <w:tr>
        <w:tc>
          <w:tcPr>
            <w:tcW w:type="dxa" w:w="2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Sébastien Valentin</w:t>
            </w:r>
          </w:p>
        </w:tc>
        <w:tc>
          <w:tcPr>
            <w:tcW w:type="dxa" w:w="28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Head of IR, Carrefour SA</w:t>
            </w:r>
          </w:p>
        </w:tc>
        <w:tc>
          <w:tcPr>
            <w:tcW w:type="dxa" w:w="28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Capital markets and investor access</w:t>
            </w:r>
          </w:p>
        </w:tc>
        <w:tc>
          <w:tcPr>
            <w:tcW w:type="dxa" w:w="18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Identified — no relationship</w:t>
            </w:r>
          </w:p>
        </w:tc>
      </w:tr>
      <w:tr>
        <w:tc>
          <w:tcPr>
            <w:tcW w:type="dxa" w:w="2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Mathilde Novick</w:t>
            </w:r>
          </w:p>
        </w:tc>
        <w:tc>
          <w:tcPr>
            <w:tcW w:type="dxa" w:w="28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IR / Treasury, Carrefour SA</w:t>
            </w:r>
          </w:p>
        </w:tc>
        <w:tc>
          <w:tcPr>
            <w:tcW w:type="dxa" w:w="28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Operational finance contact</w:t>
            </w:r>
          </w:p>
        </w:tc>
        <w:tc>
          <w:tcPr>
            <w:tcW w:type="dxa" w:w="18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Identified — no relationship</w:t>
            </w:r>
          </w:p>
        </w:tc>
      </w:tr>
      <w:tr>
        <w:tc>
          <w:tcPr>
            <w:tcW w:type="dxa" w:w="2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TBC</w:t>
            </w:r>
          </w:p>
        </w:tc>
        <w:tc>
          <w:tcPr>
            <w:tcW w:type="dxa" w:w="28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Head of RE Finance, Carrefour Property</w:t>
            </w:r>
          </w:p>
        </w:tc>
        <w:tc>
          <w:tcPr>
            <w:tcW w:type="dxa" w:w="28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Asset-level engagement and structuring</w:t>
            </w:r>
          </w:p>
        </w:tc>
        <w:tc>
          <w:tcPr>
            <w:tcW w:type="dxa" w:w="18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Not yet identified</w:t>
            </w:r>
          </w:p>
        </w:tc>
      </w:tr>
      <w:tr>
        <w:tc>
          <w:tcPr>
            <w:tcW w:type="dxa" w:w="2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TBC</w:t>
            </w:r>
          </w:p>
        </w:tc>
        <w:tc>
          <w:tcPr>
            <w:tcW w:type="dxa" w:w="28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CEO, Carrefour Property</w:t>
            </w:r>
          </w:p>
        </w:tc>
        <w:tc>
          <w:tcPr>
            <w:tcW w:type="dxa" w:w="28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Strategic alignment for RE monetisation</w:t>
            </w:r>
          </w:p>
        </w:tc>
        <w:tc>
          <w:tcPr>
            <w:tcW w:type="dxa" w:w="18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Not yet identified</w:t>
            </w:r>
          </w:p>
        </w:tc>
      </w:tr>
    </w:tbl>
    <w:p>
      <w:pPr>
        <w:spacing w:after="100"/>
      </w:pPr>
    </w:p>
    <w:p>
      <w:pPr>
        <w:spacing w:after="120"/>
      </w:pPr>
      <w:r>
        <w:rPr>
          <w:rFonts w:ascii="Arial" w:cs="Arial" w:eastAsia="Arial" w:hAnsi="Arial"/>
          <w:b/>
          <w:bCs/>
          <w:i w:val="false"/>
          <w:iCs w:val="false"/>
          <w:color w:val="333333"/>
          <w:sz w:val="18"/>
          <w:szCs w:val="18"/>
        </w:rPr>
        <w:t xml:space="preserve">Questions for Segat:</w:t>
      </w:r>
    </w:p>
    <w:p>
      <w:pPr>
        <w:pStyle w:val="ListParagraph"/>
        <w:numPr>
          <w:ilvl w:val="0"/>
          <w:numId w:val="2"/>
        </w:numPr>
      </w:pPr>
      <w:r>
        <w:rPr>
          <w:rFonts w:ascii="Arial" w:cs="Arial" w:eastAsia="Arial" w:hAnsi="Arial"/>
          <w:sz w:val="18"/>
          <w:szCs w:val="18"/>
        </w:rPr>
        <w:t xml:space="preserve">Does Segat have existing relationships with Carrefour Property, Carrefour Treasury, or the CFO’s office?</w:t>
      </w:r>
    </w:p>
    <w:p>
      <w:pPr>
        <w:pStyle w:val="ListParagraph"/>
        <w:numPr>
          <w:ilvl w:val="0"/>
          <w:numId w:val="2"/>
        </w:numPr>
      </w:pPr>
      <w:r>
        <w:rPr>
          <w:rFonts w:ascii="Arial" w:cs="Arial" w:eastAsia="Arial" w:hAnsi="Arial"/>
          <w:sz w:val="18"/>
          <w:szCs w:val="18"/>
        </w:rPr>
        <w:t xml:space="preserve">Can Segat identify the Head of RE Finance at Carrefour Property through French market channels?</w:t>
      </w:r>
    </w:p>
    <w:p>
      <w:pPr>
        <w:pStyle w:val="ListParagraph"/>
        <w:numPr>
          <w:ilvl w:val="0"/>
          <w:numId w:val="2"/>
        </w:numPr>
      </w:pPr>
      <w:r>
        <w:rPr>
          <w:rFonts w:ascii="Arial" w:cs="Arial" w:eastAsia="Arial" w:hAnsi="Arial"/>
          <w:sz w:val="18"/>
          <w:szCs w:val="18"/>
        </w:rPr>
        <w:t xml:space="preserve">Are there alternative entry points into Carrefour’s real estate decision-making that GCCP should consider?</w:t>
      </w:r>
    </w:p>
    <w:p>
      <w:r>
        <w:br w:type="page"/>
      </w:r>
    </w:p>
    <w:p>
      <w:pPr>
        <w:pStyle w:val="Heading1"/>
        <w:spacing w:after="150" w:before="300"/>
      </w:pPr>
      <w:r>
        <w:rPr>
          <w:rFonts w:ascii="Arial" w:cs="Arial" w:eastAsia="Arial" w:hAnsi="Arial"/>
          <w:b/>
          <w:bCs/>
          <w:color w:val="1C2237"/>
          <w:sz w:val="24"/>
          <w:szCs w:val="24"/>
        </w:rPr>
        <w:t xml:space="preserve">7. Key Risks and Diligence Items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0"/>
        <w:gridCol w:w="1000"/>
        <w:gridCol w:w="4200"/>
        <w:gridCol w:w="2838"/>
      </w:tblGrid>
      <w:tr>
        <w:tc>
          <w:tcPr>
            <w:tcW w:type="dxa" w:w="16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Risk</w:t>
            </w:r>
          </w:p>
        </w:tc>
        <w:tc>
          <w:tcPr>
            <w:tcW w:type="dxa" w:w="10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Severity</w:t>
            </w:r>
          </w:p>
        </w:tc>
        <w:tc>
          <w:tcPr>
            <w:tcW w:type="dxa" w:w="42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Description</w:t>
            </w:r>
          </w:p>
        </w:tc>
        <w:tc>
          <w:tcPr>
            <w:tcW w:type="dxa" w:w="2838"/>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Where Segat Helps</w:t>
            </w:r>
          </w:p>
        </w:tc>
      </w:tr>
      <w:tr>
        <w:tc>
          <w:tcPr>
            <w:tcW w:type="dxa" w:w="16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EMTN negative pledge</w:t>
            </w:r>
          </w:p>
        </w:tc>
        <w:tc>
          <w:tcPr>
            <w:tcW w:type="dxa" w:w="10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Critical</w:t>
            </w:r>
          </w:p>
        </w:tc>
        <w:tc>
          <w:tcPr>
            <w:tcW w:type="dxa" w:w="4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Creation of droit réel may require consent under Carrefour’s EUR 12bn EMTN programme</w:t>
            </w:r>
          </w:p>
        </w:tc>
        <w:tc>
          <w:tcPr>
            <w:tcW w:type="dxa" w:w="28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French capital markets counsel referral</w:t>
            </w:r>
          </w:p>
        </w:tc>
      </w:tr>
      <w:tr>
        <w:tc>
          <w:tcPr>
            <w:tcW w:type="dxa" w:w="16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No grocery bail emphytéotique precedent</w:t>
            </w:r>
          </w:p>
        </w:tc>
        <w:tc>
          <w:tcPr>
            <w:tcW w:type="dxa" w:w="10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High</w:t>
            </w:r>
          </w:p>
        </w:tc>
        <w:tc>
          <w:tcPr>
            <w:tcW w:type="dxa" w:w="4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Bail emphytéotique used for renewables/infrastructure but not commercial grocery at scale. Five specific legal questions require opinion: (1) is bail emphytéotique available for private commercial RE? (2) requalification risk as bail commercial? (3) termination mechanics? (4) municipal pre-emption? (5) multi-site execution complexity?</w:t>
            </w:r>
          </w:p>
        </w:tc>
        <w:tc>
          <w:tcPr>
            <w:tcW w:type="dxa" w:w="28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French legal market knowledge; identifying appropriate counsel</w:t>
            </w:r>
          </w:p>
        </w:tc>
      </w:tr>
      <w:tr>
        <w:tc>
          <w:tcPr>
            <w:tcW w:type="dxa" w:w="16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Requalification as bail commercial</w:t>
            </w:r>
          </w:p>
        </w:tc>
        <w:tc>
          <w:tcPr>
            <w:tcW w:type="dxa" w:w="10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High</w:t>
            </w:r>
          </w:p>
        </w:tc>
        <w:tc>
          <w:tcPr>
            <w:tcW w:type="dxa" w:w="4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Courts may reclassify if poorly drafted, triggering Code of Commerce tenant protections</w:t>
            </w:r>
          </w:p>
        </w:tc>
        <w:tc>
          <w:tcPr>
            <w:tcW w:type="dxa" w:w="28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French real estate litigation precedent</w:t>
            </w:r>
          </w:p>
        </w:tc>
      </w:tr>
      <w:tr>
        <w:tc>
          <w:tcPr>
            <w:tcW w:type="dxa" w:w="16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IFRS 16 treatment of canon</w:t>
            </w:r>
          </w:p>
        </w:tc>
        <w:tc>
          <w:tcPr>
            <w:tcW w:type="dxa" w:w="10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High</w:t>
            </w:r>
          </w:p>
        </w:tc>
        <w:tc>
          <w:tcPr>
            <w:tcW w:type="dxa" w:w="42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Classification of annual canon payment could affect leverage ratios and BBB covenant compliance</w:t>
            </w:r>
          </w:p>
        </w:tc>
        <w:tc>
          <w:tcPr>
            <w:tcW w:type="dxa" w:w="28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French accounting practice for bail emphytéotique structures</w:t>
            </w:r>
          </w:p>
        </w:tc>
      </w:tr>
      <w:tr>
        <w:tc>
          <w:tcPr>
            <w:tcW w:type="dxa" w:w="16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Hypermarket format risk</w:t>
            </w:r>
          </w:p>
        </w:tc>
        <w:tc>
          <w:tcPr>
            <w:tcW w:type="dxa" w:w="10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Medium</w:t>
            </w:r>
          </w:p>
        </w:tc>
        <w:tc>
          <w:tcPr>
            <w:tcW w:type="dxa" w:w="42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Hypermarket LFL sales –1.1% in FY2025; franchise conversion programme underway. Ground Debt is a group credit play, but site selection should favour strongest catchments</w:t>
            </w:r>
          </w:p>
        </w:tc>
        <w:tc>
          <w:tcPr>
            <w:tcW w:type="dxa" w:w="28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French retail market intelligence</w:t>
            </w:r>
          </w:p>
        </w:tc>
      </w:tr>
    </w:tbl>
    <w:p>
      <w:pPr>
        <w:pStyle w:val="Heading1"/>
        <w:spacing w:after="150" w:before="300"/>
      </w:pPr>
      <w:r>
        <w:rPr>
          <w:rFonts w:ascii="Arial" w:cs="Arial" w:eastAsia="Arial" w:hAnsi="Arial"/>
          <w:b/>
          <w:bCs/>
          <w:color w:val="1C2237"/>
          <w:sz w:val="24"/>
          <w:szCs w:val="24"/>
        </w:rPr>
        <w:t xml:space="preserve">8. Indicative Timeline and Next Steps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5638"/>
      </w:tblGrid>
      <w:tr>
        <w:tc>
          <w:tcPr>
            <w:tcW w:type="dxa" w:w="24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Phase</w:t>
            </w:r>
          </w:p>
        </w:tc>
        <w:tc>
          <w:tcPr>
            <w:tcW w:type="dxa" w:w="1600"/>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Timing</w:t>
            </w:r>
          </w:p>
        </w:tc>
        <w:tc>
          <w:tcPr>
            <w:tcW w:type="dxa" w:w="5638"/>
            <w:tcBorders>
              <w:top w:val="single" w:color="BFBFBF" w:sz="1"/>
              <w:left w:val="single" w:color="BFBFBF" w:sz="1"/>
              <w:bottom w:val="single" w:color="BFBFBF" w:sz="1"/>
              <w:right w:val="single" w:color="BFBFBF" w:sz="1"/>
            </w:tcBorders>
            <w:shd w:fill="1C2237" w:val="clear"/>
            <w:tcMar>
              <w:top w:type="dxa" w:w="60"/>
              <w:left w:type="dxa" w:w="100"/>
              <w:bottom w:type="dxa" w:w="60"/>
              <w:right w:type="dxa" w:w="100"/>
            </w:tcMar>
          </w:tcPr>
          <w:p>
            <w:r>
              <w:rPr>
                <w:rFonts w:ascii="Arial" w:cs="Arial" w:eastAsia="Arial" w:hAnsi="Arial"/>
                <w:b/>
                <w:bCs/>
                <w:color w:val="FFFFFF"/>
                <w:sz w:val="18"/>
                <w:szCs w:val="18"/>
              </w:rPr>
              <w:t xml:space="preserve">Key Activities</w:t>
            </w:r>
          </w:p>
        </w:tc>
      </w:tr>
      <w:tr>
        <w:tc>
          <w:tcPr>
            <w:tcW w:type="dxa" w:w="24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Legal Diligence</w:t>
            </w:r>
          </w:p>
        </w:tc>
        <w:tc>
          <w:tcPr>
            <w:tcW w:type="dxa" w:w="16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Q2 2026</w:t>
            </w:r>
          </w:p>
        </w:tc>
        <w:tc>
          <w:tcPr>
            <w:tcW w:type="dxa" w:w="56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Commission EMTN covenant review and French legal opinion on bail emphytéotique for grocery; IFRS 16 accounting opinion</w:t>
            </w:r>
          </w:p>
        </w:tc>
      </w:tr>
      <w:tr>
        <w:tc>
          <w:tcPr>
            <w:tcW w:type="dxa" w:w="24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bCs/>
                <w:color w:val="000000"/>
                <w:sz w:val="18"/>
                <w:szCs w:val="18"/>
              </w:rPr>
              <w:t xml:space="preserve">Approach and Engagement</w:t>
            </w:r>
          </w:p>
        </w:tc>
        <w:tc>
          <w:tcPr>
            <w:tcW w:type="dxa" w:w="1600"/>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Q2–Q3 2026</w:t>
            </w:r>
          </w:p>
        </w:tc>
        <w:tc>
          <w:tcPr>
            <w:tcW w:type="dxa" w:w="5638"/>
            <w:tcBorders>
              <w:top w:val="single" w:color="BFBFBF" w:sz="1"/>
              <w:left w:val="single" w:color="BFBFBF" w:sz="1"/>
              <w:bottom w:val="single" w:color="BFBFBF" w:sz="1"/>
              <w:right w:val="single" w:color="BFBFBF" w:sz="1"/>
            </w:tcBorders>
            <w:tcMar>
              <w:top w:type="dxa" w:w="60"/>
              <w:left w:type="dxa" w:w="100"/>
              <w:bottom w:type="dxa" w:w="60"/>
              <w:right w:type="dxa" w:w="100"/>
            </w:tcMar>
          </w:tcPr>
          <w:p>
            <w:r>
              <w:rPr>
                <w:rFonts w:ascii="Arial" w:cs="Arial" w:eastAsia="Arial" w:hAnsi="Arial"/>
                <w:b w:val="false"/>
                <w:bCs w:val="false"/>
                <w:color w:val="000000"/>
                <w:sz w:val="18"/>
                <w:szCs w:val="18"/>
              </w:rPr>
              <w:t xml:space="preserve">Initial contact with Carrefour Treasury/Property via warm introduction; present Morrisons precedent and indicative structure</w:t>
            </w:r>
          </w:p>
        </w:tc>
      </w:tr>
      <w:tr>
        <w:tc>
          <w:tcPr>
            <w:tcW w:type="dxa" w:w="24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bCs/>
                <w:color w:val="000000"/>
                <w:sz w:val="18"/>
                <w:szCs w:val="18"/>
              </w:rPr>
              <w:t xml:space="preserve">Execution</w:t>
            </w:r>
          </w:p>
        </w:tc>
        <w:tc>
          <w:tcPr>
            <w:tcW w:type="dxa" w:w="1600"/>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Q3 2026 – Q1 2027</w:t>
            </w:r>
          </w:p>
        </w:tc>
        <w:tc>
          <w:tcPr>
            <w:tcW w:type="dxa" w:w="5638"/>
            <w:tcBorders>
              <w:top w:val="single" w:color="BFBFBF" w:sz="1"/>
              <w:left w:val="single" w:color="BFBFBF" w:sz="1"/>
              <w:bottom w:val="single" w:color="BFBFBF" w:sz="1"/>
              <w:right w:val="single" w:color="BFBFBF" w:sz="1"/>
            </w:tcBorders>
            <w:shd w:fill="F2F4F8" w:val="clear"/>
            <w:tcMar>
              <w:top w:type="dxa" w:w="60"/>
              <w:left w:type="dxa" w:w="100"/>
              <w:bottom w:type="dxa" w:w="60"/>
              <w:right w:type="dxa" w:w="100"/>
            </w:tcMar>
          </w:tcPr>
          <w:p>
            <w:r>
              <w:rPr>
                <w:rFonts w:ascii="Arial" w:cs="Arial" w:eastAsia="Arial" w:hAnsi="Arial"/>
                <w:b w:val="false"/>
                <w:bCs w:val="false"/>
                <w:color w:val="000000"/>
                <w:sz w:val="18"/>
                <w:szCs w:val="18"/>
              </w:rPr>
              <w:t xml:space="preserve">Site-level valuation and title DD on 8–10 candidate sites; Heads of Terms; target completion Q1 2027</w:t>
            </w:r>
          </w:p>
        </w:tc>
      </w:tr>
    </w:tbl>
    <w:p>
      <w:pPr>
        <w:spacing w:after="150"/>
      </w:pPr>
    </w:p>
    <w:p>
      <w:pPr>
        <w:spacing w:after="120"/>
      </w:pPr>
      <w:r>
        <w:rPr>
          <w:rFonts w:ascii="Arial" w:cs="Arial" w:eastAsia="Arial" w:hAnsi="Arial"/>
          <w:b/>
          <w:bCs/>
          <w:i w:val="false"/>
          <w:iCs w:val="false"/>
          <w:color w:val="333333"/>
          <w:sz w:val="18"/>
          <w:szCs w:val="18"/>
        </w:rPr>
        <w:t xml:space="preserve">GCCP Requests of Segat:</w:t>
      </w:r>
    </w:p>
    <w:p>
      <w:pPr>
        <w:pStyle w:val="ListParagraph"/>
        <w:numPr>
          <w:ilvl w:val="0"/>
          <w:numId w:val="2"/>
        </w:numPr>
      </w:pPr>
      <w:r>
        <w:rPr>
          <w:rFonts w:ascii="Arial" w:cs="Arial" w:eastAsia="Arial" w:hAnsi="Arial"/>
          <w:sz w:val="18"/>
          <w:szCs w:val="18"/>
        </w:rPr>
        <w:t xml:space="preserve">Relationship check — confirm whether Segat has existing access to Carrefour Property or Treasury contacts.</w:t>
      </w:r>
    </w:p>
    <w:p>
      <w:pPr>
        <w:pStyle w:val="ListParagraph"/>
        <w:numPr>
          <w:ilvl w:val="0"/>
          <w:numId w:val="2"/>
        </w:numPr>
      </w:pPr>
      <w:r>
        <w:rPr>
          <w:rFonts w:ascii="Arial" w:cs="Arial" w:eastAsia="Arial" w:hAnsi="Arial"/>
          <w:sz w:val="18"/>
          <w:szCs w:val="18"/>
        </w:rPr>
        <w:t xml:space="preserve">Legal counsel recommendation — advise on preferred French law firm for bail emphytéotique opinion (commercial grocery application).</w:t>
      </w:r>
    </w:p>
    <w:p>
      <w:pPr>
        <w:pStyle w:val="ListParagraph"/>
        <w:numPr>
          <w:ilvl w:val="0"/>
          <w:numId w:val="2"/>
        </w:numPr>
      </w:pPr>
      <w:r>
        <w:rPr>
          <w:rFonts w:ascii="Arial" w:cs="Arial" w:eastAsia="Arial" w:hAnsi="Arial"/>
          <w:sz w:val="18"/>
          <w:szCs w:val="18"/>
        </w:rPr>
        <w:t xml:space="preserve">Market intelligence — any awareness of Carrefour’s current appetite for alternative real estate capital structures beyond the active SUPR programme.</w:t>
      </w:r>
    </w:p>
    <w:p>
      <w:pPr>
        <w:spacing w:before="30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BFBFBF" w:sz="1"/>
              <w:left w:val="single" w:color="BFBFBF" w:sz="1"/>
              <w:bottom w:val="single" w:color="BFBFBF" w:sz="1"/>
              <w:right w:val="single" w:color="BFBFBF" w:sz="1"/>
            </w:tcBorders>
            <w:shd w:fill="F2F4F8" w:val="clear"/>
            <w:tcMar>
              <w:top w:type="dxa" w:w="80"/>
              <w:left w:type="dxa" w:w="120"/>
              <w:bottom w:type="dxa" w:w="80"/>
              <w:right w:type="dxa" w:w="120"/>
            </w:tcMar>
          </w:tcPr>
          <w:p>
            <w:pPr>
              <w:spacing w:after="60"/>
            </w:pPr>
            <w:r>
              <w:rPr>
                <w:rFonts w:ascii="Arial" w:cs="Arial" w:eastAsia="Arial" w:hAnsi="Arial"/>
                <w:b/>
                <w:bCs/>
                <w:color w:val="1C2237"/>
                <w:sz w:val="18"/>
                <w:szCs w:val="18"/>
              </w:rPr>
              <w:t xml:space="preserve">Sources</w:t>
            </w:r>
          </w:p>
          <w:p>
            <w:r>
              <w:rPr>
                <w:rFonts w:ascii="Arial" w:cs="Arial" w:eastAsia="Arial" w:hAnsi="Arial"/>
                <w:color w:val="555555"/>
                <w:sz w:val="16"/>
                <w:szCs w:val="16"/>
              </w:rPr>
              <w:t xml:space="preserve">Carrefour FY2025 Results Presentation (AMF, 17 Feb 2026) | SUPR RNS announcements (Apr 2024, Feb 2025, Nov 2025) | NRF/Kantar Top 50 Global Retailers 2025 | Carrefour 2030 Strategic Plan (Feb 2026) | CMS France bail emphytéotique guidance.</w:t>
            </w:r>
          </w:p>
        </w:tc>
      </w:tr>
    </w:tbl>
    <w:p>
      <w:pPr>
        <w:spacing w:before="200"/>
      </w:pPr>
    </w:p>
    <w:p>
      <w:pPr>
        <w:jc w:val="center"/>
      </w:pPr>
      <w:r>
        <w:rPr>
          <w:rFonts w:ascii="Arial" w:cs="Arial" w:eastAsia="Arial" w:hAnsi="Arial"/>
          <w:color w:val="4A4F5C"/>
          <w:sz w:val="16"/>
          <w:szCs w:val="16"/>
        </w:rPr>
        <w:t xml:space="preserve">Grand Canal Capital Partners | 10 Duke Street, Dublin 2, D02AD78</w:t>
      </w:r>
    </w:p>
    <w:p>
      <w:pPr>
        <w:jc w:val="center"/>
      </w:pPr>
      <w:r>
        <w:rPr>
          <w:rFonts w:ascii="Arial" w:cs="Arial" w:eastAsia="Arial" w:hAnsi="Arial"/>
          <w:i/>
          <w:iCs/>
          <w:color w:val="4A4F5C"/>
          <w:sz w:val="16"/>
          <w:szCs w:val="16"/>
        </w:rPr>
        <w:t xml:space="preserve">Prepared for Segat partnership discussion. Not for further distribution without GCCP consent.</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4A4F5C"/>
        <w:sz w:val="14"/>
        <w:szCs w:val="14"/>
      </w:rPr>
      <w:t xml:space="preserve">Confidential | Prepared for Segat  |  Page </w:t>
    </w:r>
    <w:r>
      <w:rPr>
        <w:rFonts w:ascii="Arial" w:cs="Arial" w:eastAsia="Arial" w:hAnsi="Arial"/>
        <w:color w:val="4A4F5C"/>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drawing>
        <wp:inline distT="0" distB="0" distL="0" distR="0">
          <wp:extent cx="1524000" cy="1019175"/>
          <wp:effectExtent t="0" r="0" b="0" l="0"/>
          <wp:docPr id="1" name="gccp_logo" descr="GCCP Logo" title="GC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524000" cy="1019175"/>
                  </a:xfrm>
                  <a:prstGeom prst="rect">
                    <a:avLst/>
                  </a:prstGeom>
                </pic:spPr>
              </pic:pic>
            </a:graphicData>
          </a:graphic>
        </wp:inline>
      </w:drawing>
    </w:r>
  </w:p>
  <w:p>
    <w:pPr>
      <w:spacing w:after="80"/>
      <w:jc w:val="right"/>
    </w:pPr>
    <w:r>
      <w:rPr>
        <w:rFonts w:ascii="Arial" w:cs="Arial" w:eastAsia="Arial" w:hAnsi="Arial"/>
        <w:color w:val="4A4F5C"/>
        <w:sz w:val="16"/>
        <w:szCs w:val="16"/>
      </w:rPr>
      <w:t xml:space="preserve">FR-GR-01 | Carrefour SA | Target Research Note | v3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50" w:before="300"/>
      <w:outlineLvl w:val="0"/>
    </w:pPr>
    <w:rPr>
      <w:rFonts w:ascii="Arial" w:cs="Arial" w:eastAsia="Arial" w:hAnsi="Arial"/>
      <w:b/>
      <w:bCs/>
      <w:color w:val="1C2237"/>
      <w:sz w:val="24"/>
      <w:szCs w:val="24"/>
    </w:rPr>
  </w:style>
  <w:style w:type="paragraph" w:styleId="Heading2">
    <w:name w:val="Heading 2"/>
    <w:basedOn w:val="Normal"/>
    <w:next w:val="Normal"/>
    <w:qFormat/>
    <w:pPr>
      <w:spacing w:after="100" w:before="200"/>
      <w:outlineLvl w:val="1"/>
    </w:pPr>
    <w:rPr>
      <w:rFonts w:ascii="Arial" w:cs="Arial" w:eastAsia="Arial" w:hAnsi="Arial"/>
      <w:b/>
      <w:bCs/>
      <w:color w:val="4A4F5C"/>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79047a68108d7500ec5915a7195f5df076fa54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2026-04-03T10:18:37.521Z</dcterms:created>
  <dcterms:modified xsi:type="dcterms:W3CDTF">2026-04-03T10:18:37.522Z</dcterms:modified>
</cp:coreProperties>
</file>

<file path=docProps/custom.xml><?xml version="1.0" encoding="utf-8"?>
<Properties xmlns="http://schemas.openxmlformats.org/officeDocument/2006/custom-properties" xmlns:vt="http://schemas.openxmlformats.org/officeDocument/2006/docPropsVTypes"/>
</file>