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C2237" w:val="clear"/>
        <w:spacing w:after="0"/>
        <w:jc w:val="center"/>
      </w:pPr>
      <w:r>
        <w:rPr>
          <w:rFonts w:ascii="Arial" w:cs="Arial" w:eastAsia="Arial" w:hAnsi="Arial"/>
          <w:b/>
          <w:bCs/>
          <w:color w:val="FFFFFF"/>
          <w:sz w:val="16"/>
          <w:szCs w:val="16"/>
        </w:rPr>
        <w:t xml:space="preserve">  CONFIDENTIAL  |  GRAND CANAL CAPITAL PARTNERS  |  PREPARED FOR SEGAT  </w:t>
      </w:r>
    </w:p>
    <w:p>
      <w:pPr>
        <w:spacing w:after="100" w:before="200"/>
      </w:pPr>
      <w:r>
        <w:drawing>
          <wp:inline distT="0" distB="0" distL="0" distR="0">
            <wp:extent cx="1524000" cy="1019175"/>
            <wp:effectExtent t="0" r="0" b="0" l="0"/>
            <wp:docPr id="1" name="gccp-logo" descr="Grand Canal Capital Partners Logo" title="GC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24000" cy="1019175"/>
                    </a:xfrm>
                    <a:prstGeom prst="rect">
                      <a:avLst/>
                    </a:prstGeom>
                  </pic:spPr>
                </pic:pic>
              </a:graphicData>
            </a:graphic>
          </wp:inline>
        </w:drawing>
      </w:r>
    </w:p>
    <w:p>
      <w:pPr>
        <w:spacing w:after="40" w:before="100"/>
      </w:pPr>
      <w:r>
        <w:rPr>
          <w:rFonts w:ascii="Arial" w:cs="Arial" w:eastAsia="Arial" w:hAnsi="Arial"/>
          <w:b/>
          <w:bCs/>
          <w:color w:val="1C2237"/>
          <w:sz w:val="28"/>
          <w:szCs w:val="28"/>
        </w:rPr>
        <w:t xml:space="preserve">FRENCH MARKET TARGET RESEARCH NOTE</w:t>
      </w:r>
    </w:p>
    <w:p>
      <w:pPr>
        <w:spacing w:after="20"/>
      </w:pPr>
      <w:r>
        <w:rPr>
          <w:rFonts w:ascii="Arial" w:cs="Arial" w:eastAsia="Arial" w:hAnsi="Arial"/>
          <w:b/>
          <w:bCs/>
          <w:color w:val="4A4F5C"/>
          <w:sz w:val="24"/>
          <w:szCs w:val="24"/>
        </w:rPr>
        <w:t xml:space="preserve">Paris Habitat — Ground Debt Opportunity | France Social Housing</w:t>
      </w:r>
    </w:p>
    <w:p>
      <w:pPr>
        <w:spacing w:after="40"/>
      </w:pPr>
      <w:r>
        <w:rPr>
          <w:rFonts w:ascii="Arial" w:cs="Arial" w:eastAsia="Arial" w:hAnsi="Arial"/>
          <w:i/>
          <w:iCs/>
          <w:color w:val="4A4F5C"/>
          <w:sz w:val="18"/>
          <w:szCs w:val="18"/>
        </w:rPr>
        <w:t xml:space="preserve">Market-sounding hypothesis — not a concluded credit 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Field</w:t>
            </w:r>
          </w:p>
        </w:tc>
        <w:tc>
          <w:tcPr>
            <w:tcW w:type="dxa" w:w="65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Detail</w:t>
            </w:r>
          </w:p>
        </w:tc>
      </w:tr>
      <w:tr>
        <w:tc>
          <w:tcPr>
            <w:tcW w:type="dxa" w:w="2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Reference</w:t>
            </w:r>
          </w:p>
        </w:tc>
        <w:tc>
          <w:tcPr>
            <w:tcW w:type="dxa" w:w="65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FR-PRS-01</w:t>
            </w:r>
          </w:p>
        </w:tc>
      </w:tr>
      <w:tr>
        <w:tc>
          <w:tcPr>
            <w:tcW w:type="dxa" w:w="2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Target</w:t>
            </w:r>
          </w:p>
        </w:tc>
        <w:tc>
          <w:tcPr>
            <w:tcW w:type="dxa" w:w="65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Paris Habitat (Office Public de l’Habitat — OPH)</w:t>
            </w:r>
          </w:p>
        </w:tc>
      </w:tr>
      <w:tr>
        <w:tc>
          <w:tcPr>
            <w:tcW w:type="dxa" w:w="2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Country</w:t>
            </w:r>
          </w:p>
        </w:tc>
        <w:tc>
          <w:tcPr>
            <w:tcW w:type="dxa" w:w="65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France</w:t>
            </w:r>
          </w:p>
        </w:tc>
      </w:tr>
      <w:tr>
        <w:tc>
          <w:tcPr>
            <w:tcW w:type="dxa" w:w="2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Sector</w:t>
            </w:r>
          </w:p>
        </w:tc>
        <w:tc>
          <w:tcPr>
            <w:tcW w:type="dxa" w:w="65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Social Housing (PRS / Public Sector)</w:t>
            </w:r>
          </w:p>
        </w:tc>
      </w:tr>
      <w:tr>
        <w:tc>
          <w:tcPr>
            <w:tcW w:type="dxa" w:w="2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Product</w:t>
            </w:r>
          </w:p>
        </w:tc>
        <w:tc>
          <w:tcPr>
            <w:tcW w:type="dxa" w:w="65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Ground Debt (Bail Emphytéotique) — 30–55 year tenor</w:t>
            </w:r>
          </w:p>
        </w:tc>
      </w:tr>
      <w:tr>
        <w:tc>
          <w:tcPr>
            <w:tcW w:type="dxa" w:w="2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Estimated Facility</w:t>
            </w:r>
          </w:p>
        </w:tc>
        <w:tc>
          <w:tcPr>
            <w:tcW w:type="dxa" w:w="65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€200–400m</w:t>
            </w:r>
          </w:p>
        </w:tc>
      </w:tr>
      <w:tr>
        <w:tc>
          <w:tcPr>
            <w:tcW w:type="dxa" w:w="2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GCCP Lead</w:t>
            </w:r>
          </w:p>
        </w:tc>
        <w:tc>
          <w:tcPr>
            <w:tcW w:type="dxa" w:w="65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Aaron Sherlock / Dave Murray</w:t>
            </w:r>
          </w:p>
        </w:tc>
      </w:tr>
      <w:tr>
        <w:tc>
          <w:tcPr>
            <w:tcW w:type="dxa" w:w="2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Date</w:t>
            </w:r>
          </w:p>
        </w:tc>
        <w:tc>
          <w:tcPr>
            <w:tcW w:type="dxa" w:w="65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April 2026 (v3)</w:t>
            </w:r>
          </w:p>
        </w:tc>
      </w:tr>
    </w:tbl>
    <w:p>
      <w:pPr>
        <w:spacing w:after="60"/>
      </w:pPr>
    </w:p>
    <w:p>
      <w:pPr>
        <w:spacing w:after="120" w:before="300"/>
      </w:pPr>
      <w:r>
        <w:rPr>
          <w:rFonts w:ascii="Arial" w:cs="Arial" w:eastAsia="Arial" w:hAnsi="Arial"/>
          <w:b/>
          <w:bCs/>
          <w:color w:val="1C2237"/>
          <w:sz w:val="24"/>
          <w:szCs w:val="24"/>
        </w:rPr>
        <w:t xml:space="preserve">1. Company Overview and Key Metrics</w:t>
      </w:r>
    </w:p>
    <w:p>
      <w:pPr>
        <w:spacing w:after="120"/>
      </w:pPr>
      <w:r>
        <w:rPr>
          <w:rFonts w:ascii="Arial" w:cs="Arial" w:eastAsia="Arial" w:hAnsi="Arial"/>
          <w:b w:val="false"/>
          <w:bCs w:val="false"/>
          <w:i w:val="false"/>
          <w:iCs w:val="false"/>
          <w:color w:val="333333"/>
          <w:sz w:val="20"/>
          <w:szCs w:val="20"/>
        </w:rPr>
        <w:t xml:space="preserve">Paris Habitat is France’s largest social landlord (bailleur social), managing 128,698 housing units across 54 municipalities in the Paris and Île-de-France region. It houses 285,587 residents. Founded in 1914, it is classified as an Office Public de l’Habitat (OPH) — a public industrial and commercial establishment (EPIC) directly attached to the City of Paris. As an OPH/EPIC, Paris Habitat is a public-law entity subject to insaisissabilité; the ability to dispose of or encumber specific assets depends on their legal character and applicable public-law and housing-law constraints.</w:t>
      </w:r>
    </w:p>
    <w:p>
      <w:pPr>
        <w:spacing w:after="120"/>
      </w:pPr>
      <w:r>
        <w:rPr>
          <w:rFonts w:ascii="Arial" w:cs="Arial" w:eastAsia="Arial" w:hAnsi="Arial"/>
          <w:b w:val="false"/>
          <w:bCs w:val="false"/>
          <w:i w:val="false"/>
          <w:iCs w:val="false"/>
          <w:color w:val="333333"/>
          <w:sz w:val="20"/>
          <w:szCs w:val="20"/>
        </w:rPr>
        <w:t xml:space="preserve">The City of Paris is Paris Habitat’s collectivité de rattachement — the local authority legally responsible for the OPH’s financial equilibrium. The City provides extensive explicit support, notably through loan guarantees on social-housing debt and annual municipal subsidies, but this should not be read as an unconditional guarantee of all Paris Habitat obligations. French social housing benefits from a historically strong support framework including ANCOLS oversight, CGLLS mutual support mechanisms, subsidised long-term CDC funding, and customary local-authority guarantees.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3826"/>
      </w:tblGrid>
      <w:tr>
        <w:tc>
          <w:tcPr>
            <w:tcW w:type="dxa" w:w="26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Metric</w:t>
            </w:r>
          </w:p>
        </w:tc>
        <w:tc>
          <w:tcPr>
            <w:tcW w:type="dxa" w:w="26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Value</w:t>
            </w:r>
          </w:p>
        </w:tc>
        <w:tc>
          <w:tcPr>
            <w:tcW w:type="dxa" w:w="38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Source / Status</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Housing units</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128,698</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Residents housed</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285,587</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 — VERIFIED</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Municipalities covered</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54 communes</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Public references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Rental income (produits de loyers)</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€795.5m</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 — VERIFIED</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Capacity for self-financing</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€207.4m</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Self-financing ratio (CAF nette HLM)</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11.14%</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 — VERIFIED</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2024 total investment</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€547.4m</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Total balance sheet</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€7.56bn (2022)</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Ville de Paris, Rapport Actionnaire 2024 — VERIFIED (latest available)</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Occupancy</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Structurally high (sector vacancy ~2.9%)</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Sector benchmark — ESTIMATE; PH-specific to be confirmed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Arrears activity</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6,287 repayment plans at YE2024; 11,552 opened during 2024</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 — VERIFIED</w:t>
            </w:r>
          </w:p>
        </w:tc>
      </w:tr>
    </w:tbl>
    <w:p>
      <w:r>
        <w:br w:type="page"/>
      </w:r>
    </w:p>
    <w:p>
      <w:pPr>
        <w:spacing w:after="120" w:before="300"/>
      </w:pPr>
      <w:r>
        <w:rPr>
          <w:rFonts w:ascii="Arial" w:cs="Arial" w:eastAsia="Arial" w:hAnsi="Arial"/>
          <w:b/>
          <w:bCs/>
          <w:color w:val="1C2237"/>
          <w:sz w:val="24"/>
          <w:szCs w:val="24"/>
        </w:rPr>
        <w:t xml:space="preserve">2. GCCP Assessment</w:t>
      </w:r>
    </w:p>
    <w:p>
      <w:pPr>
        <w:spacing w:after="120"/>
      </w:pPr>
      <w:r>
        <w:rPr>
          <w:rFonts w:ascii="Arial" w:cs="Arial" w:eastAsia="Arial" w:hAnsi="Arial"/>
          <w:b w:val="false"/>
          <w:bCs w:val="false"/>
          <w:i w:val="false"/>
          <w:iCs w:val="false"/>
          <w:color w:val="333333"/>
          <w:sz w:val="20"/>
          <w:szCs w:val="20"/>
        </w:rPr>
        <w:t xml:space="preserve">Paris Habitat is a potentially attractive but structurally novel Ground Debt target. The combination of City of Paris support mechanisms (rated A+ by S&amp;P, October 2025; Aa3 with negative outlook by Moody’s, October 2025), a track record dating back to 1914, and a land portfolio concentrated in premium Paris locations creates a defensible long-dated lending thesis. The borrower’s existing debt stack is predominantly sourced from the Caisse des Dépôts (CDC) at regulated rates — Paris Habitat has not accessed the institutional private debt market, which represents both an opportunity (first-mover positioning) and a complexity (no existing bond documentation or formal credit rating to reference).</w:t>
      </w:r>
    </w:p>
    <w:p>
      <w:pPr>
        <w:spacing w:after="120"/>
      </w:pPr>
      <w:r>
        <w:rPr>
          <w:rFonts w:ascii="Arial" w:cs="Arial" w:eastAsia="Arial" w:hAnsi="Arial"/>
          <w:b w:val="false"/>
          <w:bCs w:val="false"/>
          <w:i w:val="false"/>
          <w:iCs w:val="false"/>
          <w:color w:val="333333"/>
          <w:sz w:val="20"/>
          <w:szCs w:val="20"/>
        </w:rPr>
        <w:t xml:space="preserve">The land collateral is the primary structural anchor. Paris Habitat’s portfolio sits on central and inner-suburban Paris residential land. A high-level GCCP valuation proxy suggests substantial embedded land value, but this requires external valuation and title-level screening before any credit reliance can be placed on it. The legal framework for bail emphytéotique is well-established in French law, and Paris Habitat already uses this structure for incoming leases from the City of Paris — confirmed by multiple 2024 and 2025 City Council deliberations. However, no public precedent has been identified for Paris Habitat using an outgoing structure to secure third-party institutional financing. This is first-mover territory.</w:t>
      </w:r>
    </w:p>
    <w:p>
      <w:pPr>
        <w:spacing w:after="120"/>
      </w:pPr>
      <w:r>
        <w:rPr>
          <w:rFonts w:ascii="Arial" w:cs="Arial" w:eastAsia="Arial" w:hAnsi="Arial"/>
          <w:b w:val="false"/>
          <w:bCs w:val="false"/>
          <w:i w:val="false"/>
          <w:iCs w:val="false"/>
          <w:color w:val="333333"/>
          <w:sz w:val="20"/>
          <w:szCs w:val="20"/>
        </w:rPr>
        <w:t xml:space="preserve">The key risks are structuring complexity (insaisissabilité of public-law assets prevents conventional mortgage; security must be explored around the emphyteutic right itself), procurement classification (pure loan contracts are excluded from the Code de la commande publique under Article L.2512-5, but whether a bail emphytéotique-based financing falls inside or outside this exemption requires specific legal analysis), and the absence of a standalone credit rating. Political risk over a 30–55 year tenor is non-trivial: following the March 2026 municipal elections, Emmanuel Grégoire is now Mayor of Paris, with Jacques Baudrier continuing as Adjoint for Housing. The City’s fiscal position remains under pressure (€9.3bn municipal debt, 32-year repayment capacity flagged by the Chambre des comptes in September 2025). Each of these issues is potentially manageable, but each is also capable of preventing the transaction if not resolved.</w:t>
      </w:r>
    </w:p>
    <w:p>
      <w:pPr>
        <w:spacing w:after="120" w:before="300"/>
      </w:pPr>
      <w:r>
        <w:rPr>
          <w:rFonts w:ascii="Arial" w:cs="Arial" w:eastAsia="Arial" w:hAnsi="Arial"/>
          <w:b/>
          <w:bCs/>
          <w:color w:val="1C2237"/>
          <w:sz w:val="24"/>
          <w:szCs w:val="24"/>
        </w:rPr>
        <w:t xml:space="preserve">3. Proposed 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Element</w:t>
            </w:r>
          </w:p>
        </w:tc>
        <w:tc>
          <w:tcPr>
            <w:tcW w:type="dxa" w:w="62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Proposed Terms</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Product</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Ground Debt via bail emphytéotique (long-dated land lease)</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Tenor</w:t>
            </w:r>
          </w:p>
        </w:tc>
        <w:tc>
          <w:tcPr>
            <w:tcW w:type="dxa" w:w="6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30–55 years (consistent with CDC 40–60yr precedent)</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Facility size</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€200–400m</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Currency</w:t>
            </w:r>
          </w:p>
        </w:tc>
        <w:tc>
          <w:tcPr>
            <w:tcW w:type="dxa" w:w="6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EUR</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Indexation</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Fixed uplifts 1.5–2.5% per annum (no inflation linkage)</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Security</w:t>
            </w:r>
          </w:p>
        </w:tc>
        <w:tc>
          <w:tcPr>
            <w:tcW w:type="dxa" w:w="6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Hypothèque over emphyteutic right (Art. L.451-1 Code rural) on ring-fenced land pool — subject to counsel confirmation</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Enforcement</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Court-supervised process over emphyteutic right (not freehold) — untested in this context</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Precedent (incoming)</w:t>
            </w:r>
          </w:p>
        </w:tc>
        <w:tc>
          <w:tcPr>
            <w:tcW w:type="dxa" w:w="6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City of Paris → Paris Habitat bail emphytéotique: 155 Bd Saint-Germain (65yr, €6.32m capitalised rent, 2024)</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Precedent (outgoing)</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No public precedent identified for Paris Habitat granting outgoing BE to secure institutional debt</w:t>
            </w:r>
          </w:p>
        </w:tc>
      </w:tr>
    </w:tbl>
    <w:p>
      <w:pPr>
        <w:spacing w:after="80"/>
      </w:pPr>
    </w:p>
    <w:p>
      <w:pPr>
        <w:spacing w:after="120"/>
      </w:pPr>
      <w:r>
        <w:rPr>
          <w:rFonts w:ascii="Arial" w:cs="Arial" w:eastAsia="Arial" w:hAnsi="Arial"/>
          <w:b w:val="false"/>
          <w:bCs w:val="false"/>
          <w:i w:val="false"/>
          <w:iCs w:val="false"/>
          <w:color w:val="333333"/>
          <w:sz w:val="20"/>
          <w:szCs w:val="20"/>
        </w:rPr>
        <w:t xml:space="preserve">Important structural note: As a public-law entity (EPIC), Paris Habitat is subject to insaisissabilité — its assets cannot be seized through conventional private-law enforcement. The security structure would likely need to be explored around an outgoing bail emphytéotique granted by Paris Habitat, with the lender taking a hypothèque over the emphyteutic right itself. This appears legally conceivable in principle under the French emphyteutic lease framework, but transaction-specific French public-law advice is essential.</w:t>
      </w:r>
    </w:p>
    <w:p>
      <w:pPr>
        <w:spacing w:after="120"/>
      </w:pPr>
      <w:r>
        <w:rPr>
          <w:rFonts w:ascii="Arial" w:cs="Arial" w:eastAsia="Arial" w:hAnsi="Arial"/>
          <w:b/>
          <w:bCs/>
          <w:color w:val="333333"/>
          <w:sz w:val="20"/>
          <w:szCs w:val="20"/>
        </w:rPr>
        <w:t xml:space="preserve">Asset pool screening requirement: </w:t>
      </w:r>
      <w:r>
        <w:rPr>
          <w:rFonts w:ascii="Arial" w:cs="Arial" w:eastAsia="Arial" w:hAnsi="Arial"/>
          <w:color w:val="333333"/>
          <w:sz w:val="20"/>
          <w:szCs w:val="20"/>
        </w:rPr>
        <w:t xml:space="preserve">Any ring-fenced pool must be screened for existing CDC financing and covenant restrictions, for whether the relevant land interest is freehold or already held under an incoming emphyteutic lease from the City, and for any public-law or housing-law constraints on encumbrance.</w:t>
      </w:r>
    </w:p>
    <w:p>
      <w:pPr>
        <w:spacing w:after="120"/>
      </w:pPr>
      <w:r>
        <w:rPr>
          <w:rFonts w:ascii="Arial" w:cs="Arial" w:eastAsia="Arial" w:hAnsi="Arial"/>
          <w:b/>
          <w:bCs/>
          <w:color w:val="333333"/>
          <w:sz w:val="20"/>
          <w:szCs w:val="20"/>
        </w:rPr>
        <w:t xml:space="preserve">Borrower’s “why” — Green Capex Driver: </w:t>
      </w:r>
      <w:r>
        <w:rPr>
          <w:rFonts w:ascii="Arial" w:cs="Arial" w:eastAsia="Arial" w:hAnsi="Arial"/>
          <w:color w:val="333333"/>
          <w:sz w:val="20"/>
          <w:szCs w:val="20"/>
        </w:rPr>
        <w:t xml:space="preserve">Under the French Loi Climat et Résilience, social landlords face progressive bans on renting DPE G (2025), F (2028), and E (2034) rated units. Paris Habitat faces a substantial, partially unfunded energy retrofit obligation across its older Parisian stock. A Ground Debt facility could allow Paris Habitat to monetise unencumbered freehold land to accelerate this green transition without exhausting CDC borrowing capacity or impacting municipal budgets. This “green capex facility” framing may be the strongest commercial angle for initial engagement.</w:t>
      </w:r>
    </w:p>
    <w:p>
      <w:r>
        <w:br w:type="page"/>
      </w:r>
    </w:p>
    <w:p>
      <w:pPr>
        <w:spacing w:after="120" w:before="300"/>
      </w:pPr>
      <w:r>
        <w:rPr>
          <w:rFonts w:ascii="Arial" w:cs="Arial" w:eastAsia="Arial" w:hAnsi="Arial"/>
          <w:b/>
          <w:bCs/>
          <w:color w:val="1C2237"/>
          <w:sz w:val="24"/>
          <w:szCs w:val="24"/>
        </w:rPr>
        <w:t xml:space="preserve">4. Financial Summary and Asset Pool</w:t>
      </w:r>
    </w:p>
    <w:p>
      <w:pPr>
        <w:spacing w:after="60" w:before="60"/>
      </w:pPr>
      <w:r>
        <w:rPr>
          <w:rFonts w:ascii="Arial" w:cs="Arial" w:eastAsia="Arial" w:hAnsi="Arial"/>
          <w:b/>
          <w:bCs/>
          <w:color w:val="1C2237"/>
          <w:sz w:val="20"/>
          <w:szCs w:val="20"/>
        </w:rPr>
        <w:t xml:space="preserve">Verified public figures (2024 Annual Report):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426"/>
      </w:tblGrid>
      <w:tr>
        <w:tc>
          <w:tcPr>
            <w:tcW w:type="dxa" w:w="2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Metric</w:t>
            </w:r>
          </w:p>
        </w:tc>
        <w:tc>
          <w:tcPr>
            <w:tcW w:type="dxa" w:w="2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Value</w:t>
            </w:r>
          </w:p>
        </w:tc>
        <w:tc>
          <w:tcPr>
            <w:tcW w:type="dxa" w:w="34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Source</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Rental income (produits de loyers)</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€795.5m</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Capacity for self-financing</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€207.4m</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Self-financing ratio</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11.14% (CAF nette HLM)</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2024 total investment</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€547.4m (€237.2m new supply; €310.2m existing stock)</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Paris Habitat, Rapport d’Activité 2024</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PSP 2019–2028 plan</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€1.479bn (heritage improvement)</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Paris Habitat strategic plan</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Total balance sheet</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€7.56bn (2022)</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Ville de Paris, Rapport Actionnaire</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Net result (2022)</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€132.1m</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Ville de Paris, Rapport Actionnaire</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City guarantee book (social housing)</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€10,834m total (social housing satellites)</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Ville de Paris, July 2025 EMTN doc</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City guarantee calls (25yr history)</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 calls, total cost €5,845</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Ville de Paris financial disclosures</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Paris Habitat-specific City-guaranteed debt</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€2,691.5m (24.8% of City social housing guarantees)</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Ville de Paris EMTN Document d’Information, July 2025</w:t>
            </w:r>
          </w:p>
        </w:tc>
      </w:tr>
    </w:tbl>
    <w:p>
      <w:pPr>
        <w:spacing w:after="60" w:before="160"/>
      </w:pPr>
      <w:r>
        <w:rPr>
          <w:rFonts w:ascii="Arial" w:cs="Arial" w:eastAsia="Arial" w:hAnsi="Arial"/>
          <w:b/>
          <w:bCs/>
          <w:color w:val="1C2237"/>
          <w:sz w:val="20"/>
          <w:szCs w:val="20"/>
        </w:rPr>
        <w:t xml:space="preserve">GCCP working estimates (pending audited debt schedule):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426"/>
      </w:tblGrid>
      <w:tr>
        <w:tc>
          <w:tcPr>
            <w:tcW w:type="dxa" w:w="2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Metric</w:t>
            </w:r>
          </w:p>
        </w:tc>
        <w:tc>
          <w:tcPr>
            <w:tcW w:type="dxa" w:w="2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Estimate</w:t>
            </w:r>
          </w:p>
        </w:tc>
        <w:tc>
          <w:tcPr>
            <w:tcW w:type="dxa" w:w="34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Basis</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Total debt outstanding</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~€3.1–3.6bn</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City guarantee book + sector debt/asset ratios</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Debt / asset ratio</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~27–30%</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Below sector median; conservative — requires confirmation</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Portfolio land value</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Substantial (central/inner-suburban Paris)</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High-level proxy; requires external valuation and title screening</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LTV on ring-fenced pool</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Likely conservative at €200–400m facility</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Economic LTV on valuation basis; recoveries depend on enforceability of emphyteutic right</w:t>
            </w:r>
          </w:p>
        </w:tc>
      </w:tr>
    </w:tbl>
    <w:p>
      <w:pPr>
        <w:spacing w:after="80"/>
      </w:pPr>
    </w:p>
    <w:p>
      <w:pPr>
        <w:spacing w:after="120"/>
      </w:pPr>
      <w:r>
        <w:rPr>
          <w:rFonts w:ascii="Arial" w:cs="Arial" w:eastAsia="Arial" w:hAnsi="Arial"/>
          <w:b/>
          <w:bCs/>
          <w:color w:val="333333"/>
          <w:sz w:val="20"/>
          <w:szCs w:val="20"/>
        </w:rPr>
        <w:t xml:space="preserve">Capital markets note: </w:t>
      </w:r>
      <w:r>
        <w:rPr>
          <w:rFonts w:ascii="Arial" w:cs="Arial" w:eastAsia="Arial" w:hAnsi="Arial"/>
          <w:color w:val="333333"/>
          <w:sz w:val="20"/>
          <w:szCs w:val="20"/>
        </w:rPr>
        <w:t xml:space="preserve">Paris Habitat has issued no bonds, EMTN notes, or other capital market instruments. The “Paris Climate Bond” (maturing ~May 2031) was issued by the City of Paris, not Paris Habitat. Paris Habitat’s debt stack is predominantly CDC / Banque des Territoires bilateral loans, with identified non-CDC financing including a 2019 European Investment Bank project loan.</w:t>
      </w:r>
    </w:p>
    <w:p>
      <w:pPr>
        <w:spacing w:after="120"/>
      </w:pPr>
      <w:r>
        <w:rPr>
          <w:rFonts w:ascii="Arial" w:cs="Arial" w:eastAsia="Arial" w:hAnsi="Arial"/>
          <w:b/>
          <w:bCs/>
          <w:color w:val="333333"/>
          <w:sz w:val="20"/>
          <w:szCs w:val="20"/>
        </w:rPr>
        <w:t xml:space="preserve">Arrears context: </w:t>
      </w:r>
      <w:r>
        <w:rPr>
          <w:rFonts w:ascii="Arial" w:cs="Arial" w:eastAsia="Arial" w:hAnsi="Arial"/>
          <w:color w:val="333333"/>
          <w:sz w:val="20"/>
          <w:szCs w:val="20"/>
        </w:rPr>
        <w:t xml:space="preserve">In 2022, approximately 16.8% of Paris Habitat tenants had at least one month’s rent outstanding. The broader French social housing arrears rate stood at approximately 18.7% at year-end 2023 (CLCV/ANIL data), with further deterioration widely reported in 2024. The 2024 annual report discloses 6,287 repayment plans in force at year-end and 11,552 opened during the year, indicating active and intensive arrears management. Cash collection performance should be confirmed directly before any DSCR reliance.</w:t>
      </w:r>
    </w:p>
    <w:p>
      <w:pPr>
        <w:spacing w:after="120" w:before="300"/>
      </w:pPr>
      <w:r>
        <w:rPr>
          <w:rFonts w:ascii="Arial" w:cs="Arial" w:eastAsia="Arial" w:hAnsi="Arial"/>
          <w:b/>
          <w:bCs/>
          <w:color w:val="1C2237"/>
          <w:sz w:val="24"/>
          <w:szCs w:val="24"/>
        </w:rPr>
        <w:t xml:space="preserve">5. Competitive Landscape</w:t>
      </w:r>
    </w:p>
    <w:p>
      <w:pPr>
        <w:spacing w:after="120"/>
      </w:pPr>
      <w:r>
        <w:rPr>
          <w:rFonts w:ascii="Arial" w:cs="Arial" w:eastAsia="Arial" w:hAnsi="Arial"/>
          <w:b w:val="false"/>
          <w:bCs w:val="false"/>
          <w:i w:val="false"/>
          <w:iCs w:val="false"/>
          <w:color w:val="333333"/>
          <w:sz w:val="20"/>
          <w:szCs w:val="20"/>
        </w:rPr>
        <w:t xml:space="preserve">Paris Habitat’s existing capital structure is predominantly public-sector sourced: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1800"/>
        <w:gridCol w:w="2626"/>
      </w:tblGrid>
      <w:tr>
        <w:tc>
          <w:tcPr>
            <w:tcW w:type="dxa" w:w="24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Instrument</w:t>
            </w:r>
          </w:p>
        </w:tc>
        <w:tc>
          <w:tcPr>
            <w:tcW w:type="dxa" w:w="22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Provider</w:t>
            </w:r>
          </w:p>
        </w:tc>
        <w:tc>
          <w:tcPr>
            <w:tcW w:type="dxa" w:w="1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Tenor</w:t>
            </w:r>
          </w:p>
        </w:tc>
        <w:tc>
          <w:tcPr>
            <w:tcW w:type="dxa" w:w="26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Rate Structure</w:t>
            </w:r>
          </w:p>
        </w:tc>
      </w:tr>
      <w:tr>
        <w:tc>
          <w:tcPr>
            <w:tcW w:type="dxa" w:w="24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PLAI/PLUS/PLS construction loans</w:t>
            </w:r>
          </w:p>
        </w:tc>
        <w:tc>
          <w:tcPr>
            <w:tcW w:type="dxa" w:w="2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CDC / Banque des Territoires</w:t>
            </w:r>
          </w:p>
        </w:tc>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40–55 years</w:t>
            </w:r>
          </w:p>
        </w:tc>
        <w:tc>
          <w:tcPr>
            <w:tcW w:type="dxa" w:w="26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Livret A + 60–75bps</w:t>
            </w:r>
          </w:p>
        </w:tc>
      </w:tr>
      <w:tr>
        <w:tc>
          <w:tcPr>
            <w:tcW w:type="dxa" w:w="24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Renovation / rehabilitation loans</w:t>
            </w:r>
          </w:p>
        </w:tc>
        <w:tc>
          <w:tcPr>
            <w:tcW w:type="dxa" w:w="2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CDC / Banque des Territoires</w:t>
            </w:r>
          </w:p>
        </w:tc>
        <w:tc>
          <w:tcPr>
            <w:tcW w:type="dxa" w:w="1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25–40 years</w:t>
            </w:r>
          </w:p>
        </w:tc>
        <w:tc>
          <w:tcPr>
            <w:tcW w:type="dxa" w:w="26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Livret A + spread</w:t>
            </w:r>
          </w:p>
        </w:tc>
      </w:tr>
      <w:tr>
        <w:tc>
          <w:tcPr>
            <w:tcW w:type="dxa" w:w="24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Commercial bank facilities</w:t>
            </w:r>
          </w:p>
        </w:tc>
        <w:tc>
          <w:tcPr>
            <w:tcW w:type="dxa" w:w="2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French banks (unverified detail)</w:t>
            </w:r>
          </w:p>
        </w:tc>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Estimated 5–20 years</w:t>
            </w:r>
          </w:p>
        </w:tc>
        <w:tc>
          <w:tcPr>
            <w:tcW w:type="dxa" w:w="26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To be confirmed</w:t>
            </w:r>
          </w:p>
        </w:tc>
      </w:tr>
      <w:tr>
        <w:tc>
          <w:tcPr>
            <w:tcW w:type="dxa" w:w="24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Bonds / EMTN</w:t>
            </w:r>
          </w:p>
        </w:tc>
        <w:tc>
          <w:tcPr>
            <w:tcW w:type="dxa" w:w="2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None</w:t>
            </w:r>
          </w:p>
        </w:tc>
        <w:tc>
          <w:tcPr>
            <w:tcW w:type="dxa" w:w="1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w:t>
            </w:r>
          </w:p>
        </w:tc>
        <w:tc>
          <w:tcPr>
            <w:tcW w:type="dxa" w:w="26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w:t>
            </w:r>
          </w:p>
        </w:tc>
      </w:tr>
      <w:tr>
        <w:tc>
          <w:tcPr>
            <w:tcW w:type="dxa" w:w="24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EIB project loan (2019)</w:t>
            </w:r>
          </w:p>
        </w:tc>
        <w:tc>
          <w:tcPr>
            <w:tcW w:type="dxa" w:w="2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European Investment Bank</w:t>
            </w:r>
          </w:p>
        </w:tc>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Long-dated</w:t>
            </w:r>
          </w:p>
        </w:tc>
        <w:tc>
          <w:tcPr>
            <w:tcW w:type="dxa" w:w="26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Fixed (intermediate housing)</w:t>
            </w:r>
          </w:p>
        </w:tc>
      </w:tr>
    </w:tbl>
    <w:p>
      <w:pPr>
        <w:spacing w:after="80"/>
      </w:pPr>
    </w:p>
    <w:p>
      <w:pPr>
        <w:spacing w:after="120"/>
      </w:pPr>
      <w:r>
        <w:rPr>
          <w:rFonts w:ascii="Arial" w:cs="Arial" w:eastAsia="Arial" w:hAnsi="Arial"/>
          <w:b/>
          <w:bCs/>
          <w:color w:val="333333"/>
          <w:sz w:val="20"/>
          <w:szCs w:val="20"/>
        </w:rPr>
        <w:t xml:space="preserve">Ground Debt differentiation: </w:t>
      </w:r>
      <w:r>
        <w:rPr>
          <w:rFonts w:ascii="Arial" w:cs="Arial" w:eastAsia="Arial" w:hAnsi="Arial"/>
          <w:color w:val="333333"/>
          <w:sz w:val="20"/>
          <w:szCs w:val="20"/>
        </w:rPr>
        <w:t xml:space="preserve">While CDC loans are heavily subsidised (Livret A-linked), a Ground Debt offers Paris Habitat something CDC does not: long-dated fixed-cost certainty decoupled from Livret A rate movements. Unlike a traditional bond issue (which Paris Habitat has no infrastructure for), this structure would not require a public credit rating, bond trustee, or offering documentation — though in practice a shadow rating or equivalent credit opinion would likely be needed for the institutional investor base. The bail emphytéotique mechanism is one Paris Habitat already uses on the incoming side.</w:t>
      </w:r>
    </w:p>
    <w:p>
      <w:pPr>
        <w:spacing w:after="120"/>
      </w:pPr>
      <w:r>
        <w:rPr>
          <w:rFonts w:ascii="Arial" w:cs="Arial" w:eastAsia="Arial" w:hAnsi="Arial"/>
          <w:b/>
          <w:bCs/>
          <w:color w:val="333333"/>
          <w:sz w:val="20"/>
          <w:szCs w:val="20"/>
        </w:rPr>
        <w:t xml:space="preserve">Rating context: </w:t>
      </w:r>
      <w:r>
        <w:rPr>
          <w:rFonts w:ascii="Arial" w:cs="Arial" w:eastAsia="Arial" w:hAnsi="Arial"/>
          <w:color w:val="333333"/>
          <w:sz w:val="20"/>
          <w:szCs w:val="20"/>
        </w:rPr>
        <w:t xml:space="preserve">Paris Habitat has no standalone public credit rating. The closest French sector comparators are ACM Habitat (A+/A-1 by S&amp;P, September 2025) and Résidences le Logement des Fonctionnaires / RLF (A+ by Fitch, January 2026; previously AA- before the France sovereign downgrade). Following S&amp;P’s downgrade of the City of Paris to A+ in October 2025, any shadow rating for Paris Habitat would be constrained by the A+ sovereign cap. Paris Habitat may screen at a level consistent with leading French social-housing comparators, though any shadow rating outcome would depend on methodology, support assumptions, and confirmed financial metrics.</w:t>
      </w:r>
    </w:p>
    <w:p>
      <w:r>
        <w:br w:type="page"/>
      </w:r>
    </w:p>
    <w:p>
      <w:pPr>
        <w:spacing w:after="120" w:before="300"/>
      </w:pPr>
      <w:r>
        <w:rPr>
          <w:rFonts w:ascii="Arial" w:cs="Arial" w:eastAsia="Arial" w:hAnsi="Arial"/>
          <w:b/>
          <w:bCs/>
          <w:color w:val="1C2237"/>
          <w:sz w:val="24"/>
          <w:szCs w:val="24"/>
        </w:rPr>
        <w:t xml:space="preserve">6. Key Contacts and Segat Opportunity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200"/>
        <w:gridCol w:w="2826"/>
      </w:tblGrid>
      <w:tr>
        <w:tc>
          <w:tcPr>
            <w:tcW w:type="dxa" w:w="30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Role</w:t>
            </w:r>
          </w:p>
        </w:tc>
        <w:tc>
          <w:tcPr>
            <w:tcW w:type="dxa" w:w="32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Name / Entity</w:t>
            </w:r>
          </w:p>
        </w:tc>
        <w:tc>
          <w:tcPr>
            <w:tcW w:type="dxa" w:w="28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GCCP Status</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President (Conseil d’Administration)</w:t>
            </w:r>
          </w:p>
        </w:tc>
        <w:tc>
          <w:tcPr>
            <w:tcW w:type="dxa" w:w="3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Éric Pliez (re-elected Mayor, 20th arrondissement, Mar 2026)</w:t>
            </w:r>
          </w:p>
        </w:tc>
        <w:tc>
          <w:tcPr>
            <w:tcW w:type="dxa" w:w="2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Director General (DG)</w:t>
            </w:r>
          </w:p>
        </w:tc>
        <w:tc>
          <w:tcPr>
            <w:tcW w:type="dxa" w:w="3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Cécile Bélard du Plantys (appointed May 2022)</w:t>
            </w:r>
          </w:p>
        </w:tc>
        <w:tc>
          <w:tcPr>
            <w:tcW w:type="dxa" w:w="2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Finance Director</w:t>
            </w:r>
          </w:p>
        </w:tc>
        <w:tc>
          <w:tcPr>
            <w:tcW w:type="dxa" w:w="3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Sandra Crémont (Directrice des services financiers)</w:t>
            </w:r>
          </w:p>
        </w:tc>
        <w:tc>
          <w:tcPr>
            <w:tcW w:type="dxa" w:w="2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Mayor of Paris</w:t>
            </w:r>
          </w:p>
        </w:tc>
        <w:tc>
          <w:tcPr>
            <w:tcW w:type="dxa" w:w="3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Emmanuel Grégoire (elected March 2026)</w:t>
            </w:r>
          </w:p>
        </w:tc>
        <w:tc>
          <w:tcPr>
            <w:tcW w:type="dxa" w:w="2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Adjoint for Housing</w:t>
            </w:r>
          </w:p>
        </w:tc>
        <w:tc>
          <w:tcPr>
            <w:tcW w:type="dxa" w:w="3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Jacques Baudrier (continuing in new executive)</w:t>
            </w:r>
          </w:p>
        </w:tc>
        <w:tc>
          <w:tcPr>
            <w:tcW w:type="dxa" w:w="2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City Housing Directorate</w:t>
            </w:r>
          </w:p>
        </w:tc>
        <w:tc>
          <w:tcPr>
            <w:tcW w:type="dxa" w:w="3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Direction du Logement et de l’Habitat</w:t>
            </w:r>
          </w:p>
        </w:tc>
        <w:tc>
          <w:tcPr>
            <w:tcW w:type="dxa" w:w="2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Not yet identified (individual)</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ANCOLS (Regulator)</w:t>
            </w:r>
          </w:p>
        </w:tc>
        <w:tc>
          <w:tcPr>
            <w:tcW w:type="dxa" w:w="3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Agence Nationale de Contrôle du Logement Social</w:t>
            </w:r>
          </w:p>
        </w:tc>
        <w:tc>
          <w:tcPr>
            <w:tcW w:type="dxa" w:w="2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bl>
    <w:p>
      <w:pPr>
        <w:spacing w:after="100"/>
      </w:pPr>
    </w:p>
    <w:p>
      <w:pPr>
        <w:spacing w:after="60" w:before="180"/>
      </w:pPr>
      <w:r>
        <w:rPr>
          <w:rFonts w:ascii="Arial" w:cs="Arial" w:eastAsia="Arial" w:hAnsi="Arial"/>
          <w:b/>
          <w:bCs/>
          <w:color w:val="1C2237"/>
          <w:sz w:val="20"/>
          <w:szCs w:val="20"/>
        </w:rPr>
        <w:t xml:space="preserve">Specific Questions for Segat:</w:t>
      </w:r>
    </w:p>
    <w:p>
      <w:pPr>
        <w:pStyle w:val="ListParagraph"/>
        <w:numPr>
          <w:ilvl w:val="0"/>
          <w:numId w:val="2"/>
        </w:numPr>
        <w:spacing w:after="60"/>
      </w:pPr>
      <w:r>
        <w:rPr>
          <w:rFonts w:ascii="Arial" w:cs="Arial" w:eastAsia="Arial" w:hAnsi="Arial"/>
          <w:sz w:val="20"/>
          <w:szCs w:val="20"/>
        </w:rPr>
        <w:t xml:space="preserve">Who is the right first contact: DG (Bélard du Plantys), Finance Director (Crémont), or the City housing directorate? Does Segat have an existing relationship with any of these individuals?</w:t>
      </w:r>
    </w:p>
    <w:p>
      <w:pPr>
        <w:pStyle w:val="ListParagraph"/>
        <w:numPr>
          <w:ilvl w:val="0"/>
          <w:numId w:val="2"/>
        </w:numPr>
        <w:spacing w:after="60"/>
      </w:pPr>
      <w:r>
        <w:rPr>
          <w:rFonts w:ascii="Arial" w:cs="Arial" w:eastAsia="Arial" w:hAnsi="Arial"/>
          <w:sz w:val="20"/>
          <w:szCs w:val="20"/>
        </w:rPr>
        <w:t xml:space="preserve">Has Segat encountered any precedent for an outgoing bail emphytéotique or similar real-rights structure used by a French OPH, SEM, or SPL-type public landlord to secure third-party institutional debt?</w:t>
      </w:r>
    </w:p>
    <w:p>
      <w:pPr>
        <w:pStyle w:val="ListParagraph"/>
        <w:numPr>
          <w:ilvl w:val="0"/>
          <w:numId w:val="2"/>
        </w:numPr>
        <w:spacing w:after="60"/>
      </w:pPr>
      <w:r>
        <w:rPr>
          <w:rFonts w:ascii="Arial" w:cs="Arial" w:eastAsia="Arial" w:hAnsi="Arial"/>
          <w:sz w:val="20"/>
          <w:szCs w:val="20"/>
        </w:rPr>
        <w:t xml:space="preserve">Procurement classification: pure loan contracts are excluded under Article L.2512-5, 6° of the Code de la commande publique. Does Segat’s view support the position that a bail emphytéotique-based financing would also fall outside the procurement regime, or would it risk reclassification?</w:t>
      </w:r>
    </w:p>
    <w:p>
      <w:pPr>
        <w:pStyle w:val="ListParagraph"/>
        <w:numPr>
          <w:ilvl w:val="0"/>
          <w:numId w:val="2"/>
        </w:numPr>
        <w:spacing w:after="60"/>
      </w:pPr>
      <w:r>
        <w:rPr>
          <w:rFonts w:ascii="Arial" w:cs="Arial" w:eastAsia="Arial" w:hAnsi="Arial"/>
          <w:sz w:val="20"/>
          <w:szCs w:val="20"/>
        </w:rPr>
        <w:t xml:space="preserve">Which counsel has live OPH/EPIC secured-financing experience (not just general public law) to provide the enforceability and procurement classification opinions?</w:t>
      </w:r>
    </w:p>
    <w:p>
      <w:pPr>
        <w:spacing w:after="120" w:before="300"/>
      </w:pPr>
      <w:r>
        <w:rPr>
          <w:rFonts w:ascii="Arial" w:cs="Arial" w:eastAsia="Arial" w:hAnsi="Arial"/>
          <w:b/>
          <w:bCs/>
          <w:color w:val="1C2237"/>
          <w:sz w:val="24"/>
          <w:szCs w:val="24"/>
        </w:rPr>
        <w:t xml:space="preserve">7. Key Risks and Diligence Items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426"/>
      </w:tblGrid>
      <w:tr>
        <w:tc>
          <w:tcPr>
            <w:tcW w:type="dxa" w:w="1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Risk</w:t>
            </w:r>
          </w:p>
        </w:tc>
        <w:tc>
          <w:tcPr>
            <w:tcW w:type="dxa" w:w="3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Description</w:t>
            </w:r>
          </w:p>
        </w:tc>
        <w:tc>
          <w:tcPr>
            <w:tcW w:type="dxa" w:w="34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Where Segat’s Expertise Helps</w:t>
            </w:r>
          </w:p>
        </w:tc>
      </w:tr>
      <w:tr>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1. Procurement classification</w:t>
            </w:r>
          </w:p>
        </w:tc>
        <w:tc>
          <w:tcPr>
            <w:tcW w:type="dxa" w:w="3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Pure loan contracts are excluded from the Code de la commande publique (Art. L.2512-5, 6°). However, a bail emphytéotique-based financing is a hybrid (real right + financial obligation). Legal classification of this structure determines whether GCCP can negotiate directly or must go through a formal competitive process.</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Segat’s public-sector advisory experience can assess whether the BE structure preserves the loan exemption or risks recharacterisation.</w:t>
            </w:r>
          </w:p>
        </w:tc>
      </w:tr>
      <w:tr>
        <w:tc>
          <w:tcPr>
            <w:tcW w:type="dxa" w:w="1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2. Insaisissabilité / enforceability</w:t>
            </w:r>
          </w:p>
        </w:tc>
        <w:tc>
          <w:tcPr>
            <w:tcW w:type="dxa" w:w="3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Paris Habitat’s assets as an EPIC are subject to insaisissabilité. Security must rely on a hypothèque over the emphyteutic right, not a conventional mortgage. In enforcement, the lender would be selling an emphyteutic right at court-supervised auction — a process that is untested in this context and may have limited market liquidity.</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Segat’s network of French public law firms can provide the bespoke enforceability opinion. Segat can also help structure City step-in rights as a practical alternative to forced auction.</w:t>
            </w:r>
          </w:p>
        </w:tc>
      </w:tr>
      <w:tr>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3. No formal credit rating</w:t>
            </w:r>
          </w:p>
        </w:tc>
        <w:tc>
          <w:tcPr>
            <w:tcW w:type="dxa" w:w="3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No standalone S&amp;P/Moody’s/Fitch rating exists. Paris Habitat benefits from strong structural support from a rated city (A+ by S&amp;P, October 2025; Aa3 negative outlook by Moody’s). Any shadow rating outcome would be constrained by the A+ sovereign cap. A shadow rating exercise (GCCP estimate: €150–250k, 8–12 weeks — to be confirmed with the rating agency) or equivalent credit opinion would likely be required for the institutional investor base.</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Segat can advise on whether their institutional network accepts implicit support-based credit views or requires a formal shadow rating.</w:t>
            </w:r>
          </w:p>
        </w:tc>
      </w:tr>
      <w:tr>
        <w:tc>
          <w:tcPr>
            <w:tcW w:type="dxa" w:w="1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4. Asset eligibility / title contamination</w:t>
            </w:r>
          </w:p>
        </w:tc>
        <w:tc>
          <w:tcPr>
            <w:tcW w:type="dxa" w:w="3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Some assets may be: already financed by CDC with covenant restrictions; held under incoming City emphyteutic leases (not re-encumberable); or subject to public-law/housing-law constraints making them unsuitable for the proposed structure. Asset-by-asset title and tenure screening is essential.</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Segat can advise on typical constraints and identify counsel with cadastre / publicité foncière expertise for the land-title screening.</w:t>
            </w:r>
          </w:p>
        </w:tc>
      </w:tr>
      <w:tr>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5. Political / reversion risk</w:t>
            </w:r>
          </w:p>
        </w:tc>
        <w:tc>
          <w:tcPr>
            <w:tcW w:type="dxa" w:w="3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Over 30–55 years, Paris municipal administration will change multiple times. The new executive (Mayor Grégoire, elected March 2026) appears to maintain housing policy continuity (Baudrier remains housing adjoint). City fiscal position is under pressure (€9.3bn debt; Chambre des comptes critique Sep 2025).</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Segat’s French government relationships provide real-time political risk assessment and can gauge the new administration’s receptivity.</w:t>
            </w:r>
          </w:p>
        </w:tc>
      </w:tr>
      <w:tr>
        <w:tc>
          <w:tcPr>
            <w:tcW w:type="dxa" w:w="1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6. Rent arrears / cash collection</w:t>
            </w:r>
          </w:p>
        </w:tc>
        <w:tc>
          <w:tcPr>
            <w:tcW w:type="dxa" w:w="3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16.8% of tenants in arrears (2022); national rate ~19.6% (2024). Paris Habitat’s 2024 report discloses intensive arrears management (6,287 active repayment plans). Credit strength may be high while cash collection velocity remains variable.</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Segat can verify whether arrears recovery rates are tracked publicly and assess ANCOLS oversight effectiveness.</w:t>
            </w:r>
          </w:p>
        </w:tc>
      </w:tr>
    </w:tbl>
    <w:p>
      <w:r>
        <w:br w:type="page"/>
      </w:r>
    </w:p>
    <w:p>
      <w:pPr>
        <w:spacing w:after="120" w:before="300"/>
      </w:pPr>
      <w:r>
        <w:rPr>
          <w:rFonts w:ascii="Arial" w:cs="Arial" w:eastAsia="Arial" w:hAnsi="Arial"/>
          <w:b/>
          <w:bCs/>
          <w:color w:val="1C2237"/>
          <w:sz w:val="24"/>
          <w:szCs w:val="24"/>
        </w:rPr>
        <w:t xml:space="preserve">8. Indicative Timeline and Next Steps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4800"/>
        <w:gridCol w:w="2226"/>
      </w:tblGrid>
      <w:tr>
        <w:tc>
          <w:tcPr>
            <w:tcW w:type="dxa" w:w="20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Phase</w:t>
            </w:r>
          </w:p>
        </w:tc>
        <w:tc>
          <w:tcPr>
            <w:tcW w:type="dxa" w:w="4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Activities</w:t>
            </w:r>
          </w:p>
        </w:tc>
        <w:tc>
          <w:tcPr>
            <w:tcW w:type="dxa" w:w="22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Indicative Duration</w:t>
            </w:r>
          </w:p>
        </w:tc>
      </w:tr>
      <w:tr>
        <w:tc>
          <w:tcPr>
            <w:tcW w:type="dxa" w:w="2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Phase 1: Market &amp; Legal Viability</w:t>
            </w:r>
          </w:p>
        </w:tc>
        <w:tc>
          <w:tcPr>
            <w:tcW w:type="dxa" w:w="4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Segat call to test access and appetite. French counsel scoping memo (procurement classification + enforceability). Title / tenure screen on sample assets. Preliminary investor appetite test for unrated / shadow-rated OPH risk. Confirm application of Art. L.2512-5 loan exemption.</w:t>
            </w:r>
          </w:p>
        </w:tc>
        <w:tc>
          <w:tcPr>
            <w:tcW w:type="dxa" w:w="2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2–3 months</w:t>
            </w:r>
          </w:p>
        </w:tc>
      </w:tr>
      <w:tr>
        <w:tc>
          <w:tcPr>
            <w:tcW w:type="dxa" w:w="2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Phase 2: Counterparty Approach</w:t>
            </w:r>
          </w:p>
        </w:tc>
        <w:tc>
          <w:tcPr>
            <w:tcW w:type="dxa" w:w="4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Approach Paris Habitat DG / Finance Director (via Segat network). Present Ground Debt / Green Capex Facility concept. Test receptivity and governance process. Request audited financials and land register data for identified pool.</w:t>
            </w:r>
          </w:p>
        </w:tc>
        <w:tc>
          <w:tcPr>
            <w:tcW w:type="dxa" w:w="2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2–3 months</w:t>
            </w:r>
          </w:p>
        </w:tc>
      </w:tr>
      <w:tr>
        <w:tc>
          <w:tcPr>
            <w:tcW w:type="dxa" w:w="2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Phase 3: Full Diligence &amp; Execution</w:t>
            </w:r>
          </w:p>
        </w:tc>
        <w:tc>
          <w:tcPr>
            <w:tcW w:type="dxa" w:w="4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Asset pool selection and valuation. CDC covenant review. ANCOLS regulatory position. Shadow rating (if required). Procurement process (if required). Legal documentation. Financial close.</w:t>
            </w:r>
          </w:p>
        </w:tc>
        <w:tc>
          <w:tcPr>
            <w:tcW w:type="dxa" w:w="2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4–6 months</w:t>
            </w:r>
          </w:p>
        </w:tc>
      </w:tr>
    </w:tbl>
    <w:p>
      <w:pPr>
        <w:spacing w:after="100"/>
      </w:pPr>
    </w:p>
    <w:p>
      <w:pPr>
        <w:spacing w:after="60" w:before="180"/>
      </w:pPr>
      <w:r>
        <w:rPr>
          <w:rFonts w:ascii="Arial" w:cs="Arial" w:eastAsia="Arial" w:hAnsi="Arial"/>
          <w:b/>
          <w:bCs/>
          <w:color w:val="1C2237"/>
          <w:sz w:val="20"/>
          <w:szCs w:val="20"/>
        </w:rPr>
        <w:t xml:space="preserve">GCCP Requests of Segat:</w:t>
      </w:r>
    </w:p>
    <w:p>
      <w:pPr>
        <w:pStyle w:val="ListParagraph"/>
        <w:numPr>
          <w:ilvl w:val="0"/>
          <w:numId w:val="2"/>
        </w:numPr>
        <w:spacing w:after="60"/>
      </w:pPr>
      <w:r>
        <w:rPr>
          <w:rFonts w:ascii="Arial" w:cs="Arial" w:eastAsia="Arial" w:hAnsi="Arial"/>
          <w:sz w:val="20"/>
          <w:szCs w:val="20"/>
        </w:rPr>
        <w:t xml:space="preserve">Introduction to Paris Habitat’s Director General (Bélard du Plantys) and/or Finance Director (Crémont), or identification of the appropriate first contact for an institutional debt conversation.</w:t>
      </w:r>
    </w:p>
    <w:p>
      <w:pPr>
        <w:pStyle w:val="ListParagraph"/>
        <w:numPr>
          <w:ilvl w:val="0"/>
          <w:numId w:val="2"/>
        </w:numPr>
        <w:spacing w:after="60"/>
      </w:pPr>
      <w:r>
        <w:rPr>
          <w:rFonts w:ascii="Arial" w:cs="Arial" w:eastAsia="Arial" w:hAnsi="Arial"/>
          <w:sz w:val="20"/>
          <w:szCs w:val="20"/>
        </w:rPr>
        <w:t xml:space="preserve">Confirmation of procurement classification: does Segat believe the Article L.2512-5 loan exemption applies to a bail emphytéotique-based financing, allowing direct bilateral negotiation?</w:t>
      </w:r>
    </w:p>
    <w:p>
      <w:pPr>
        <w:pStyle w:val="ListParagraph"/>
        <w:numPr>
          <w:ilvl w:val="0"/>
          <w:numId w:val="2"/>
        </w:numPr>
        <w:spacing w:after="60"/>
      </w:pPr>
      <w:r>
        <w:rPr>
          <w:rFonts w:ascii="Arial" w:cs="Arial" w:eastAsia="Arial" w:hAnsi="Arial"/>
          <w:sz w:val="20"/>
          <w:szCs w:val="20"/>
        </w:rPr>
        <w:t xml:space="preserve">Recommendation for Paris counsel with specific OPH/EPIC secured-financing and bail emphytéotique enforcement experience to provide scoping opinions on procurement classification and enforceability.</w:t>
      </w:r>
    </w:p>
    <w:p>
      <w:pPr>
        <w:spacing w:after="200"/>
      </w:pPr>
    </w:p>
    <w:p>
      <w:pPr>
        <w:shd w:fill="F2F4F8" w:val="clear"/>
        <w:spacing w:before="200"/>
      </w:pPr>
      <w:r>
        <w:rPr>
          <w:rFonts w:ascii="Arial" w:cs="Arial" w:eastAsia="Arial" w:hAnsi="Arial"/>
          <w:i/>
          <w:iCs/>
          <w:color w:val="4A4F5C"/>
          <w:sz w:val="16"/>
          <w:szCs w:val="16"/>
        </w:rPr>
        <w:t xml:space="preserve">This document is prepared by Grand Canal Capital Partners as a market-sounding hypothesis for Segat’s internal use only. It is not a concluded credit view. It contains GCCP’s preliminary assessment based on publicly available information and proxy analysis. All “GCCP working estimates” require independent verification from audited accounts. GCCP Lead: Aaron Sherlock (aaron@gccapitalpartners.ie) / Dave Murray.</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C2237" w:sz="4" w:space="4"/>
      </w:pBdr>
      <w:jc w:val="center"/>
    </w:pPr>
    <w:r>
      <w:rPr>
        <w:rFonts w:ascii="Arial" w:cs="Arial" w:eastAsia="Arial" w:hAnsi="Arial"/>
        <w:color w:val="4A4F5C"/>
        <w:sz w:val="14"/>
        <w:szCs w:val="14"/>
      </w:rPr>
      <w:t xml:space="preserve">Confidential | Prepared for Segat | Grand Canal Capital Partners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4A4F5C"/>
        <w:sz w:val="16"/>
        <w:szCs w:val="16"/>
      </w:rPr>
      <w:t xml:space="preserve">FR-PRS-01 | Paris Habitat | Target Research Note | v3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79047a68108d7500ec5915a7195f5df076fa54b.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2026-04-03T10:16:49.735Z</dcterms:created>
  <dcterms:modified xsi:type="dcterms:W3CDTF">2026-04-03T10:16:49.735Z</dcterms:modified>
</cp:coreProperties>
</file>

<file path=docProps/custom.xml><?xml version="1.0" encoding="utf-8"?>
<Properties xmlns="http://schemas.openxmlformats.org/officeDocument/2006/custom-properties" xmlns:vt="http://schemas.openxmlformats.org/officeDocument/2006/docPropsVTypes"/>
</file>