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C2237" w:val="clear"/>
        <w:spacing w:after="0"/>
        <w:jc w:val="center"/>
      </w:pPr>
      <w:r>
        <w:rPr>
          <w:rFonts w:ascii="Arial" w:cs="Arial" w:eastAsia="Arial" w:hAnsi="Arial"/>
          <w:b/>
          <w:bCs/>
          <w:color w:val="FFFFFF"/>
          <w:sz w:val="16"/>
          <w:szCs w:val="16"/>
        </w:rPr>
        <w:t xml:space="preserve">  CONFIDENTIAL  |  GRAND CANAL CAPITAL PARTNERS  |  PREPARED FOR SEGAT  </w:t>
      </w:r>
    </w:p>
    <w:p>
      <w:pPr>
        <w:spacing w:after="100" w:before="200"/>
      </w:pPr>
      <w:r>
        <w:drawing>
          <wp:inline distT="0" distB="0" distL="0" distR="0">
            <wp:extent cx="1524000" cy="1019175"/>
            <wp:effectExtent t="0" r="0" b="0" l="0"/>
            <wp:docPr id="1" name="gccp-logo" descr="Grand Canal Capital Partners Logo" title="GC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524000" cy="1019175"/>
                    </a:xfrm>
                    <a:prstGeom prst="rect">
                      <a:avLst/>
                    </a:prstGeom>
                  </pic:spPr>
                </pic:pic>
              </a:graphicData>
            </a:graphic>
          </wp:inline>
        </w:drawing>
      </w:r>
    </w:p>
    <w:p>
      <w:pPr>
        <w:spacing w:after="40" w:before="100"/>
      </w:pPr>
      <w:r>
        <w:rPr>
          <w:rFonts w:ascii="Arial" w:cs="Arial" w:eastAsia="Arial" w:hAnsi="Arial"/>
          <w:b/>
          <w:bCs/>
          <w:color w:val="1C2237"/>
          <w:sz w:val="28"/>
          <w:szCs w:val="28"/>
        </w:rPr>
        <w:t xml:space="preserve">FRENCH MARKET TARGET RESEARCH NOTE</w:t>
      </w:r>
    </w:p>
    <w:p>
      <w:pPr>
        <w:spacing w:after="20"/>
      </w:pPr>
      <w:r>
        <w:rPr>
          <w:rFonts w:ascii="Arial" w:cs="Arial" w:eastAsia="Arial" w:hAnsi="Arial"/>
          <w:b/>
          <w:bCs/>
          <w:color w:val="4A4F5C"/>
          <w:sz w:val="24"/>
          <w:szCs w:val="24"/>
        </w:rPr>
        <w:t xml:space="preserve">Praemia Healthcare — Senior Secured Debt Opportunity | France Healthcare Real Estate</w:t>
      </w:r>
    </w:p>
    <w:p>
      <w:pPr>
        <w:spacing w:after="40"/>
      </w:pPr>
      <w:r>
        <w:rPr>
          <w:rFonts w:ascii="Arial" w:cs="Arial" w:eastAsia="Arial" w:hAnsi="Arial"/>
          <w:i/>
          <w:iCs/>
          <w:color w:val="4A4F5C"/>
          <w:sz w:val="18"/>
          <w:szCs w:val="18"/>
        </w:rPr>
        <w:t xml:space="preserve">Market-sounding hypothesis — not a concluded credit 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Field</w:t>
            </w:r>
          </w:p>
        </w:tc>
        <w:tc>
          <w:tcPr>
            <w:tcW w:type="dxa" w:w="65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Detail</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Reference</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FR-HC-01</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Target</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Praemia Healthcare (formerly Icade Santé) — société anonyme (SA), bonds on Euronext Paris</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Country</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France (~92%), Portugal, Spain, Germany</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Sector</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Healthcare Real Estate — Hospitals, Clinics, Medico-Social</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Product</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Senior Secured Term Loan (20yr) via ring-fenced SPV; Ground Debt as secondary option for future greenfield only</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Estimated Facility</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€400–700m (€400m recommended first tranche)</w:t>
            </w:r>
          </w:p>
        </w:tc>
      </w:tr>
      <w:tr>
        <w:tc>
          <w:tcPr>
            <w:tcW w:type="dxa" w:w="2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GCCP Lead</w:t>
            </w:r>
          </w:p>
        </w:tc>
        <w:tc>
          <w:tcPr>
            <w:tcW w:type="dxa" w:w="65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Aaron Sherlock / Dave Murray</w:t>
            </w:r>
          </w:p>
        </w:tc>
      </w:tr>
      <w:tr>
        <w:tc>
          <w:tcPr>
            <w:tcW w:type="dxa" w:w="2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Date</w:t>
            </w:r>
          </w:p>
        </w:tc>
        <w:tc>
          <w:tcPr>
            <w:tcW w:type="dxa" w:w="65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April 2026 (v3)</w:t>
            </w:r>
          </w:p>
        </w:tc>
      </w:tr>
    </w:tbl>
    <w:p>
      <w:pPr>
        <w:spacing w:after="60"/>
      </w:pPr>
    </w:p>
    <w:p>
      <w:pPr>
        <w:spacing w:after="120" w:before="300"/>
      </w:pPr>
      <w:r>
        <w:rPr>
          <w:rFonts w:ascii="Arial" w:cs="Arial" w:eastAsia="Arial" w:hAnsi="Arial"/>
          <w:b/>
          <w:bCs/>
          <w:color w:val="1C2237"/>
          <w:sz w:val="24"/>
          <w:szCs w:val="24"/>
        </w:rPr>
        <w:t xml:space="preserve">1. Company Overview and Key Metrics</w:t>
      </w:r>
    </w:p>
    <w:p>
      <w:pPr>
        <w:spacing w:after="120"/>
      </w:pPr>
      <w:r>
        <w:rPr>
          <w:rFonts w:ascii="Arial" w:cs="Arial" w:eastAsia="Arial" w:hAnsi="Arial"/>
          <w:b w:val="false"/>
          <w:bCs w:val="false"/>
          <w:i w:val="false"/>
          <w:iCs w:val="false"/>
          <w:color w:val="333333"/>
          <w:sz w:val="20"/>
          <w:szCs w:val="20"/>
        </w:rPr>
        <w:t xml:space="preserve">Praemia Healthcare is Europe’s largest dedicated healthcare property company, created in July 2023 when Primonial REIM (now Praemia REIM) completed the first stage of its acquisition of Icade’s 63–64% stake in Icade Santé for €1.4 billion. The company is incorporated as a société anonyme (SA) under French law and issues bonds on Euronext Paris regulated markets. It is managed by Praemia REIM Care, a subsidiary of Praemia REIM (€36bn AUM as of December 2024).</w:t>
      </w:r>
    </w:p>
    <w:p>
      <w:pPr>
        <w:spacing w:after="120"/>
      </w:pPr>
      <w:r>
        <w:rPr>
          <w:rFonts w:ascii="Arial" w:cs="Arial" w:eastAsia="Arial" w:hAnsi="Arial"/>
          <w:b w:val="false"/>
          <w:bCs w:val="false"/>
          <w:i w:val="false"/>
          <w:iCs w:val="false"/>
          <w:color w:val="333333"/>
          <w:sz w:val="20"/>
          <w:szCs w:val="20"/>
        </w:rPr>
        <w:t xml:space="preserve">The portfolio comprises 160–161 facilities across France (~92%), Portugal, Spain, and Germany, with approximately 2 million sqm of floor area. Asset types span acute care hospitals (MCO, ~55% of portfolio by value), medium-term care facilities (SSR, ~19%), and long-term care / psychiatric facilities (EHPAD, ~26%) (by France facility count, YE2024). Praemia Healthcare reports 100% financial occupancy for its healthcare portfolio — consistently held. Tenants are private hospital operators including Ramsay Santé, Elsan, Vivalto, and approximately 18 others, whose revenues are underpinned by French Assurance Maladie (social security) reimbursements.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3826"/>
      </w:tblGrid>
      <w:tr>
        <w:tc>
          <w:tcPr>
            <w:tcW w:type="dxa" w:w="26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Metric</w:t>
            </w:r>
          </w:p>
        </w:tc>
        <w:tc>
          <w:tcPr>
            <w:tcW w:type="dxa" w:w="26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Value</w:t>
            </w:r>
          </w:p>
        </w:tc>
        <w:tc>
          <w:tcPr>
            <w:tcW w:type="dxa" w:w="38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Source / Status</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Legal form</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Société anonyme (SA)</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Dec 2025 bond prospectus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Number of facilities</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161 (YE2024); 160 (H1 2025 post-disposal)</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Press releases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Floor area</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 million sqm</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Company disclosures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Portfolio value (excl. duties)</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€6,024m (YE2024); €5,948m (H1 2025)</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Condensed consolidated statements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France proportion</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~92% by number (148/161 at YE2024)</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Press releases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Financial occupancy</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100% (healthcare portfolio)</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Consistently reported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S&amp;P credit rating</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BBB / Stable (affirmed July 2025)</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S&amp;P Global Ratings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Gross rental income (FY2024)</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€357.1m (+5.7% YoY)</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FY2024 press release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Gross rental income (H1 2025)</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€184.0m (+4.6% vs H1 2024)</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H1 2025 press release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Like-for-like rent growth</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+3.6% (H1 2025)</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H1 2025 press release — VERIFIED</w:t>
            </w:r>
          </w:p>
        </w:tc>
      </w:tr>
      <w:tr>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Number of operators</w:t>
            </w:r>
          </w:p>
        </w:tc>
        <w:tc>
          <w:tcPr>
            <w:tcW w:type="dxa" w:w="26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~18</w:t>
            </w:r>
          </w:p>
        </w:tc>
        <w:tc>
          <w:tcPr>
            <w:tcW w:type="dxa" w:w="3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Company disclosures — VERIFIED</w:t>
            </w:r>
          </w:p>
        </w:tc>
      </w:tr>
      <w:tr>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Key operators</w:t>
            </w:r>
          </w:p>
        </w:tc>
        <w:tc>
          <w:tcPr>
            <w:tcW w:type="dxa" w:w="26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Ramsay Santé, Elsan, Vivalto, Générale de Santé</w:t>
            </w:r>
          </w:p>
        </w:tc>
        <w:tc>
          <w:tcPr>
            <w:tcW w:type="dxa" w:w="3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Company disclosures — VERIFIED</w:t>
            </w:r>
          </w:p>
        </w:tc>
      </w:tr>
    </w:tbl>
    <w:p>
      <w:r>
        <w:br w:type="page"/>
      </w:r>
    </w:p>
    <w:p>
      <w:pPr>
        <w:spacing w:after="120" w:before="300"/>
      </w:pPr>
      <w:r>
        <w:rPr>
          <w:rFonts w:ascii="Arial" w:cs="Arial" w:eastAsia="Arial" w:hAnsi="Arial"/>
          <w:b/>
          <w:bCs/>
          <w:color w:val="1C2237"/>
          <w:sz w:val="24"/>
          <w:szCs w:val="24"/>
        </w:rPr>
        <w:t xml:space="preserve">2. GCCP Assessment</w:t>
      </w:r>
    </w:p>
    <w:p>
      <w:pPr>
        <w:spacing w:after="120"/>
      </w:pPr>
      <w:r>
        <w:rPr>
          <w:rFonts w:ascii="Arial" w:cs="Arial" w:eastAsia="Arial" w:hAnsi="Arial"/>
          <w:b w:val="false"/>
          <w:bCs w:val="false"/>
          <w:i w:val="false"/>
          <w:iCs w:val="false"/>
          <w:color w:val="333333"/>
          <w:sz w:val="20"/>
          <w:szCs w:val="20"/>
        </w:rPr>
        <w:t xml:space="preserve">Praemia Healthcare is a mid-investment-grade real estate credit with structurally defensive characteristics. The combination of BBB-rated bond issuance, 100% financial occupancy on essential hospital infrastructure, ILAT-indexed lease income, and a diversified operator base creates a stable income profile supported by French state social security reimbursements. The tenants’ revenues are ultimately underpinned by Assurance Maladie, making rent payments non-discretionary. No comparable single-asset-class healthcare PropCo of this scale exists in Europe.</w:t>
      </w:r>
    </w:p>
    <w:p>
      <w:pPr>
        <w:spacing w:after="120"/>
      </w:pPr>
      <w:r>
        <w:rPr>
          <w:rFonts w:ascii="Arial" w:cs="Arial" w:eastAsia="Arial" w:hAnsi="Arial"/>
          <w:b w:val="false"/>
          <w:bCs w:val="false"/>
          <w:i w:val="false"/>
          <w:iCs w:val="false"/>
          <w:color w:val="333333"/>
          <w:sz w:val="20"/>
          <w:szCs w:val="20"/>
        </w:rPr>
        <w:t xml:space="preserve">The primary opportunity is a 20-year Senior Secured Term Loan via a ring-fenced SPV, secured against a carved-out pool of 12–18 French acute-care (MCO) freeholds. This structure has direct market precedent: the €702.5m MEDIAN Germany transaction (June 2025, 10-year, 5.1% fixed, non-recourse, insurance/pension consortium) demonstrates institutional appetite for exactly this type of healthcare PropCo debt. The SPV approach is important because Praemia’s existing leverage is already around 40–41% LTV, and management has publicly stated its intention to maintain LTV around 40% consistent with maintaining its BBB rating. Layering unsecured corporate-level debt risks putting pressure on the rating trajectory.</w:t>
      </w:r>
    </w:p>
    <w:p>
      <w:pPr>
        <w:spacing w:after="120"/>
      </w:pPr>
      <w:r>
        <w:rPr>
          <w:rFonts w:ascii="Arial" w:cs="Arial" w:eastAsia="Arial" w:hAnsi="Arial"/>
          <w:b w:val="false"/>
          <w:bCs w:val="false"/>
          <w:i w:val="false"/>
          <w:iCs w:val="false"/>
          <w:color w:val="333333"/>
          <w:sz w:val="20"/>
          <w:szCs w:val="20"/>
        </w:rPr>
        <w:t xml:space="preserve">The key risks are threefold. First, existing leverage is material — gross financial liabilities stood at €2,668.6m at H1 2025 (of which €789.9m corporate loans from credit institutions), with LTV trending from 38.9% (YE2023) to 41.0% (H1 2025). The December 2025 bond refinancing (net +€350m (€500m issued minus €150m tendered)) may have pushed this further. Second, the existing unsecured bond programme on Euronext Paris will contain negative pledge and pari passu provisions requiring careful legal review before any new secured lending. Third, the Ground Debt product faces material French legal complexity for existing standing assets (operator lease consent, ARS regulatory approval, dual-tenure layering) and is better suited to future greenfield hospital developments. GCCP recommends a Senior Secured Term Loan as the primary product.</w:t>
      </w:r>
    </w:p>
    <w:p>
      <w:pPr>
        <w:spacing w:after="120" w:before="300"/>
      </w:pPr>
      <w:r>
        <w:rPr>
          <w:rFonts w:ascii="Arial" w:cs="Arial" w:eastAsia="Arial" w:hAnsi="Arial"/>
          <w:b/>
          <w:bCs/>
          <w:color w:val="1C2237"/>
          <w:sz w:val="24"/>
          <w:szCs w:val="24"/>
        </w:rPr>
        <w:t xml:space="preserve">3. Proposed Structure</w:t>
      </w:r>
    </w:p>
    <w:p>
      <w:pPr>
        <w:spacing w:after="60" w:before="120"/>
      </w:pPr>
      <w:r>
        <w:rPr>
          <w:rFonts w:ascii="Arial" w:cs="Arial" w:eastAsia="Arial" w:hAnsi="Arial"/>
          <w:b/>
          <w:bCs/>
          <w:color w:val="1C2237"/>
          <w:sz w:val="20"/>
          <w:szCs w:val="20"/>
        </w:rPr>
        <w:t xml:space="preserve">Primary Product: Senior Secured Term Loan (via SPV)</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Element</w:t>
            </w:r>
          </w:p>
        </w:tc>
        <w:tc>
          <w:tcPr>
            <w:tcW w:type="dxa" w:w="62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Proposed Terms</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Product</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Senior Secured Term Loan (non-recourse, ring-fenced SPV)</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Tenor</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20 years (fixed rate)</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Facility size</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€400–700m (€400m recommended first tranche)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Currency</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EUR</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Security pool</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12–18 French MCO acute-care freeholds (est. €1.2–1.8bn value)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Security package</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First-ranking hypothèque over ring-fenced assets + pledge of SPV shares (nantissement de parts) + assignment of rental income</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Indexation</w:t>
            </w:r>
          </w:p>
        </w:tc>
        <w:tc>
          <w:tcPr>
            <w:tcW w:type="dxa" w:w="6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Fixed rate; ILAT-linked rental income provides natural spread widening over time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Precedent</w:t>
            </w:r>
          </w:p>
        </w:tc>
        <w:tc>
          <w:tcPr>
            <w:tcW w:type="dxa" w:w="6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MEDIAN Germany: €702.5m, 10yr, 5.1% fixed, non-recourse, insurance/pension consortium (June 2025)</w:t>
            </w:r>
          </w:p>
        </w:tc>
      </w:tr>
    </w:tbl>
    <w:p>
      <w:pPr>
        <w:spacing w:after="80"/>
      </w:pPr>
    </w:p>
    <w:p>
      <w:pPr>
        <w:spacing w:after="120"/>
      </w:pPr>
      <w:r>
        <w:rPr>
          <w:rFonts w:ascii="Arial" w:cs="Arial" w:eastAsia="Arial" w:hAnsi="Arial"/>
          <w:b/>
          <w:bCs/>
          <w:color w:val="333333"/>
          <w:sz w:val="20"/>
          <w:szCs w:val="20"/>
        </w:rPr>
        <w:t xml:space="preserve">Critical prerequisite: </w:t>
      </w:r>
      <w:r>
        <w:rPr>
          <w:rFonts w:ascii="Arial" w:cs="Arial" w:eastAsia="Arial" w:hAnsi="Arial"/>
          <w:color w:val="333333"/>
          <w:sz w:val="20"/>
          <w:szCs w:val="20"/>
        </w:rPr>
        <w:t xml:space="preserve">The existing Euronext Paris bond programme must be reviewed at prospectus level to confirm negative pledge capacity, permitted lien baskets, and any restricted-payment or cross-default provisions that could be triggered by a new secured facility at SPV level. This is non-negotiable diligence before any term sheet.</w:t>
      </w:r>
    </w:p>
    <w:p>
      <w:pPr>
        <w:spacing w:after="60" w:before="120"/>
      </w:pPr>
      <w:r>
        <w:rPr>
          <w:rFonts w:ascii="Arial" w:cs="Arial" w:eastAsia="Arial" w:hAnsi="Arial"/>
          <w:b/>
          <w:bCs/>
          <w:color w:val="1C2237"/>
          <w:sz w:val="20"/>
          <w:szCs w:val="20"/>
        </w:rPr>
        <w:t xml:space="preserve">Secondary Option: Ground Debt (Bail Emphytéotique) — Future Greenfield / Selective Restructuring Only</w:t>
      </w:r>
    </w:p>
    <w:p>
      <w:pPr>
        <w:spacing w:after="120"/>
      </w:pPr>
      <w:r>
        <w:rPr>
          <w:rFonts w:ascii="Arial" w:cs="Arial" w:eastAsia="Arial" w:hAnsi="Arial"/>
          <w:b w:val="false"/>
          <w:bCs w:val="false"/>
          <w:i w:val="false"/>
          <w:iCs w:val="false"/>
          <w:color w:val="333333"/>
          <w:sz w:val="20"/>
          <w:szCs w:val="20"/>
        </w:rPr>
        <w:t xml:space="preserve">A Ground Debt facility on Praemia’s existing standing assets faces material execution barriers. Each asset already has an operator under a bail commercial, and layering a bail emphytéotique requires bilateral operator consent, potential ARS (Agence Régionale de Santé) authorisation for any change in real-property tenure of a licensed healthcare facility, and resolution of dual-tenure interface issues. Healthcare asset transfer and consent complexity should not be underestimated. Ground Debt is therefore suited only to 2–3 future purpose-built hospital campuses (€100–150m pilot) where tenure can be structured from inception, or to narrow bespoke cases involving selected assets where operator and regulatory consents are obtainable.</w:t>
      </w:r>
    </w:p>
    <w:p>
      <w:r>
        <w:br w:type="page"/>
      </w:r>
    </w:p>
    <w:p>
      <w:pPr>
        <w:spacing w:after="120" w:before="300"/>
      </w:pPr>
      <w:r>
        <w:rPr>
          <w:rFonts w:ascii="Arial" w:cs="Arial" w:eastAsia="Arial" w:hAnsi="Arial"/>
          <w:b/>
          <w:bCs/>
          <w:color w:val="1C2237"/>
          <w:sz w:val="24"/>
          <w:szCs w:val="24"/>
        </w:rPr>
        <w:t xml:space="preserve">4. Financial Summary and Asset Pool</w:t>
      </w:r>
    </w:p>
    <w:p>
      <w:pPr>
        <w:spacing w:after="60" w:before="60"/>
      </w:pPr>
      <w:r>
        <w:rPr>
          <w:rFonts w:ascii="Arial" w:cs="Arial" w:eastAsia="Arial" w:hAnsi="Arial"/>
          <w:b/>
          <w:bCs/>
          <w:color w:val="1C2237"/>
          <w:sz w:val="20"/>
          <w:szCs w:val="20"/>
        </w:rPr>
        <w:t xml:space="preserve">Verified figures (company disclosures and bond prospectus):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426"/>
      </w:tblGrid>
      <w:tr>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Metric</w:t>
            </w:r>
          </w:p>
        </w:tc>
        <w:tc>
          <w:tcPr>
            <w:tcW w:type="dxa" w:w="2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Value</w:t>
            </w:r>
          </w:p>
        </w:tc>
        <w:tc>
          <w:tcPr>
            <w:tcW w:type="dxa" w:w="34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Source</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Portfolio value (excl. duties)</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€5,948m (H1 2025)</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Condensed consolidated statements</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Gross financial liabilities</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€2,668.6m (H1 2025)</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H1 2025 results / 2025 prospectus</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Of which: corporate loans from credit institutions</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€789.9m</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2025 bond prospectus</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LTV (excl. duties)</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39.7% (YE2024); 41.0% (H1 2025)</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Official reporting</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LTV trajectory</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Rising: 38.9% → 40.4% → 39.7% → 41.0% (YE23→H1 25)</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Trend from press releases</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ICR (Interest Coverage)</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5.20x (H1 2025); declining from 5.67x (H1 2024)</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Press releases</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Average cost of debt</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2.73% (H1 2025); rising from 2.51% (YE2024)</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Official reporting</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Hedge coverage</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100%</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Consistently reported</w:t>
            </w:r>
          </w:p>
        </w:tc>
      </w:tr>
      <w:tr>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Sustainable financing proportion</w:t>
            </w:r>
          </w:p>
        </w:tc>
        <w:tc>
          <w:tcPr>
            <w:tcW w:type="dxa" w:w="2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64% (H1 2025)</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Press release</w:t>
            </w:r>
          </w:p>
        </w:tc>
      </w:tr>
      <w:tr>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Management LTV target</w:t>
            </w:r>
          </w:p>
        </w:tc>
        <w:tc>
          <w:tcPr>
            <w:tcW w:type="dxa" w:w="2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~40%, consistent with BBB rating</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Company statements (not S&amp;P trigger)</w:t>
            </w:r>
          </w:p>
        </w:tc>
      </w:tr>
    </w:tbl>
    <w:p>
      <w:pPr>
        <w:spacing w:after="80"/>
      </w:pPr>
    </w:p>
    <w:p>
      <w:pPr>
        <w:spacing w:after="120"/>
      </w:pPr>
      <w:r>
        <w:rPr>
          <w:rFonts w:ascii="Arial" w:cs="Arial" w:eastAsia="Arial" w:hAnsi="Arial"/>
          <w:b/>
          <w:bCs/>
          <w:color w:val="333333"/>
          <w:sz w:val="20"/>
          <w:szCs w:val="20"/>
        </w:rPr>
        <w:t xml:space="preserve">Asset pool for SPV: </w:t>
      </w:r>
      <w:r>
        <w:rPr>
          <w:rFonts w:ascii="Arial" w:cs="Arial" w:eastAsia="Arial" w:hAnsi="Arial"/>
          <w:color w:val="333333"/>
          <w:sz w:val="20"/>
          <w:szCs w:val="20"/>
        </w:rPr>
        <w:t xml:space="preserve">The optimal security pool would comprise 12–18 French MCO acute-care freeholds with the longest remaining lease terms and strongest operators (Ramsay Santé, Elsan). Acute care assets constitute ~55% of the portfolio and represent the highest-quality tier for institutional lenders given clinical essentiality and operator replacement barriers. A pool valued at €1.2–1.8bn would support a €400–700m facility at 33–58% LTV on the ring-fenced assets. However, asset-by-asset title, lease, and regulatory screening is essential — some assets may be subject to existing security, operator consent requirements, or ARS regulatory constraints that make them unsuitable for SPV transfer.</w:t>
      </w:r>
    </w:p>
    <w:p>
      <w:pPr>
        <w:spacing w:after="120" w:before="300"/>
      </w:pPr>
      <w:r>
        <w:rPr>
          <w:rFonts w:ascii="Arial" w:cs="Arial" w:eastAsia="Arial" w:hAnsi="Arial"/>
          <w:b/>
          <w:bCs/>
          <w:color w:val="1C2237"/>
          <w:sz w:val="24"/>
          <w:szCs w:val="24"/>
        </w:rPr>
        <w:t xml:space="preserve">5. Competitive Landscape</w:t>
      </w:r>
    </w:p>
    <w:p>
      <w:pPr>
        <w:spacing w:after="120"/>
      </w:pPr>
      <w:r>
        <w:rPr>
          <w:rFonts w:ascii="Arial" w:cs="Arial" w:eastAsia="Arial" w:hAnsi="Arial"/>
          <w:b w:val="false"/>
          <w:bCs w:val="false"/>
          <w:i w:val="false"/>
          <w:iCs w:val="false"/>
          <w:color w:val="333333"/>
          <w:sz w:val="20"/>
          <w:szCs w:val="20"/>
        </w:rPr>
        <w:t xml:space="preserve">Praemia Healthcare’s capital structure is predominantly unsecured bond-funded, with material bilateral bank and institutional private placement facilities: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3026"/>
      </w:tblGrid>
      <w:tr>
        <w:tc>
          <w:tcPr>
            <w:tcW w:type="dxa" w:w="30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Instrument</w:t>
            </w:r>
          </w:p>
        </w:tc>
        <w:tc>
          <w:tcPr>
            <w:tcW w:type="dxa" w:w="15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Amount</w:t>
            </w:r>
          </w:p>
        </w:tc>
        <w:tc>
          <w:tcPr>
            <w:tcW w:type="dxa" w:w="15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Rate</w:t>
            </w:r>
          </w:p>
        </w:tc>
        <w:tc>
          <w:tcPr>
            <w:tcW w:type="dxa" w:w="30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Maturity</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Bond (FR0013457967)</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~€350m (post Dec 2025 tender; €150m repurchased)</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0.875%</w:t>
            </w:r>
          </w:p>
        </w:tc>
        <w:tc>
          <w:tcPr>
            <w:tcW w:type="dxa" w:w="30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Nov 2029</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Social Bond (FR0013535150)</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€600m</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1.375%</w:t>
            </w:r>
          </w:p>
        </w:tc>
        <w:tc>
          <w:tcPr>
            <w:tcW w:type="dxa" w:w="30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Sep 2030</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Sustainable Bond (pre-existing; coupon/size TBC)</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Amount TBC</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Coupon TBC</w:t>
            </w:r>
          </w:p>
        </w:tc>
        <w:tc>
          <w:tcPr>
            <w:tcW w:type="dxa" w:w="30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Sep 2028</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Sustainability Notes (FR0014014EA7)</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€500m</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3.875%</w:t>
            </w:r>
          </w:p>
        </w:tc>
        <w:tc>
          <w:tcPr>
            <w:tcW w:type="dxa" w:w="30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Jun 2032</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Euro PP</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€100m</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4.632%</w:t>
            </w:r>
          </w:p>
        </w:tc>
        <w:tc>
          <w:tcPr>
            <w:tcW w:type="dxa" w:w="30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Apr 2035</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Sustainability-linked corporate loan</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€90m</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Floating/Hedged</w:t>
            </w:r>
          </w:p>
        </w:tc>
        <w:tc>
          <w:tcPr>
            <w:tcW w:type="dxa" w:w="30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2028–2030 (est.)</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Bilateral SLL facilities</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~€160m</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Floating/Hedged</w:t>
            </w:r>
          </w:p>
        </w:tc>
        <w:tc>
          <w:tcPr>
            <w:tcW w:type="dxa" w:w="30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2027–2028</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RCF (undrawn at H1 2025)</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€400m</w:t>
            </w:r>
          </w:p>
        </w:tc>
        <w:tc>
          <w:tcPr>
            <w:tcW w:type="dxa" w:w="15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Floating</w:t>
            </w:r>
          </w:p>
        </w:tc>
        <w:tc>
          <w:tcPr>
            <w:tcW w:type="dxa" w:w="30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2027</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Corporate loans from credit institutions (total)</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€789.9m</w:t>
            </w:r>
          </w:p>
        </w:tc>
        <w:tc>
          <w:tcPr>
            <w:tcW w:type="dxa" w:w="15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Various</w:t>
            </w:r>
          </w:p>
        </w:tc>
        <w:tc>
          <w:tcPr>
            <w:tcW w:type="dxa" w:w="30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Various</w:t>
            </w:r>
          </w:p>
        </w:tc>
      </w:tr>
    </w:tbl>
    <w:p>
      <w:pPr>
        <w:spacing w:after="80"/>
      </w:pPr>
    </w:p>
    <w:p>
      <w:pPr>
        <w:spacing w:after="120"/>
      </w:pPr>
      <w:r>
        <w:rPr>
          <w:rFonts w:ascii="Arial" w:cs="Arial" w:eastAsia="Arial" w:hAnsi="Arial"/>
          <w:b/>
          <w:bCs/>
          <w:color w:val="333333"/>
          <w:sz w:val="20"/>
          <w:szCs w:val="20"/>
        </w:rPr>
        <w:t xml:space="preserve">Senior Secured Term Loan differentiation: </w:t>
      </w:r>
      <w:r>
        <w:rPr>
          <w:rFonts w:ascii="Arial" w:cs="Arial" w:eastAsia="Arial" w:hAnsi="Arial"/>
          <w:color w:val="333333"/>
          <w:sz w:val="20"/>
          <w:szCs w:val="20"/>
        </w:rPr>
        <w:t xml:space="preserve">A 20-year fixed-rate term loan would fundamentally change Praemia’s maturity profile. Current average debt maturity is ~5–6 years, creating a rolling refinancing burden as cheap 2019–2020 vintage bonds (0.875–1.375%) mature and must be replaced at 3.5–5.5%+ market rates. A 20-year instrument eliminates refinancing risk on a €400–700m tranche, extends weighted average maturity, and provides fixed-cost certainty while ILAT-linked rental income continues to escalate. The fact that Praemia already uses structured private placements (Euro PP, SLL corporate loan) suggests management is open to non-bond debt products, though not necessarily secured ones.</w:t>
      </w:r>
    </w:p>
    <w:p>
      <w:pPr>
        <w:spacing w:after="120"/>
      </w:pPr>
      <w:r>
        <w:rPr>
          <w:rFonts w:ascii="Arial" w:cs="Arial" w:eastAsia="Arial" w:hAnsi="Arial"/>
          <w:b/>
          <w:bCs/>
          <w:color w:val="333333"/>
          <w:sz w:val="20"/>
          <w:szCs w:val="20"/>
        </w:rPr>
        <w:t xml:space="preserve">Arranging bank relationships: </w:t>
      </w:r>
      <w:r>
        <w:rPr>
          <w:rFonts w:ascii="Arial" w:cs="Arial" w:eastAsia="Arial" w:hAnsi="Arial"/>
          <w:color w:val="333333"/>
          <w:sz w:val="20"/>
          <w:szCs w:val="20"/>
        </w:rPr>
        <w:t xml:space="preserve">Société Générale, Crédit Agricole d’Île-de-France, and BNP Paribas are the lead arrangers across Praemia’s recent bond and bilateral facilities. Any new secured facility will require consent or negative pledge carve-outs from these parties and from existing bondholders.</w:t>
      </w:r>
    </w:p>
    <w:p>
      <w:r>
        <w:br w:type="page"/>
      </w:r>
    </w:p>
    <w:p>
      <w:pPr>
        <w:spacing w:after="120" w:before="300"/>
      </w:pPr>
      <w:r>
        <w:rPr>
          <w:rFonts w:ascii="Arial" w:cs="Arial" w:eastAsia="Arial" w:hAnsi="Arial"/>
          <w:b/>
          <w:bCs/>
          <w:color w:val="1C2237"/>
          <w:sz w:val="24"/>
          <w:szCs w:val="24"/>
        </w:rPr>
        <w:t xml:space="preserve">6. Key Contacts and Segat Opportunity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2826"/>
      </w:tblGrid>
      <w:tr>
        <w:tc>
          <w:tcPr>
            <w:tcW w:type="dxa" w:w="30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Role</w:t>
            </w:r>
          </w:p>
        </w:tc>
        <w:tc>
          <w:tcPr>
            <w:tcW w:type="dxa" w:w="32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Name / Entity</w:t>
            </w:r>
          </w:p>
        </w:tc>
        <w:tc>
          <w:tcPr>
            <w:tcW w:type="dxa" w:w="28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GCCP Status</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Parent / Asset Manager</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Praemia REIM (formerly Primonial REIM), €36bn AUM</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Identified — no direct contact</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Healthcare subsidiary</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Praemia REIM Care (manages Praemia Healthcare)</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Identified — no direct contact</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Potential CFO contact</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Helga Camalon, Directrice financière — Praemia REIM Care</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Confirmed via H1 2024 press release</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CEO / Managing Director</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Not confirmed (individual)</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Not yet identified</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Head of Capital Markets / Treasury</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Not confirmed (individual)</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Not yet identified</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Minority shareholder</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Icade SA (residual stake)</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S&amp;P Rating Analyst</w:t>
            </w:r>
          </w:p>
        </w:tc>
        <w:tc>
          <w:tcPr>
            <w:tcW w:type="dxa" w:w="32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S&amp;P Global Ratings (coverage team)</w:t>
            </w:r>
          </w:p>
        </w:tc>
        <w:tc>
          <w:tcPr>
            <w:tcW w:type="dxa" w:w="28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r>
        <w:tc>
          <w:tcPr>
            <w:tcW w:type="dxa" w:w="3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Key arranging banks</w:t>
            </w:r>
          </w:p>
        </w:tc>
        <w:tc>
          <w:tcPr>
            <w:tcW w:type="dxa" w:w="32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Société Générale, Crédit Agricole d’Île-de-France, BNP Paribas</w:t>
            </w:r>
          </w:p>
        </w:tc>
        <w:tc>
          <w:tcPr>
            <w:tcW w:type="dxa" w:w="28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Identified — no contact</w:t>
            </w:r>
          </w:p>
        </w:tc>
      </w:tr>
    </w:tbl>
    <w:p>
      <w:pPr>
        <w:spacing w:after="100"/>
      </w:pPr>
    </w:p>
    <w:p>
      <w:pPr>
        <w:spacing w:after="60" w:before="180"/>
      </w:pPr>
      <w:r>
        <w:rPr>
          <w:rFonts w:ascii="Arial" w:cs="Arial" w:eastAsia="Arial" w:hAnsi="Arial"/>
          <w:b/>
          <w:bCs/>
          <w:color w:val="1C2237"/>
          <w:sz w:val="20"/>
          <w:szCs w:val="20"/>
        </w:rPr>
        <w:t xml:space="preserve">Specific Questions for Segat:</w:t>
      </w:r>
    </w:p>
    <w:p>
      <w:pPr>
        <w:pStyle w:val="ListParagraph"/>
        <w:numPr>
          <w:ilvl w:val="0"/>
          <w:numId w:val="2"/>
        </w:numPr>
        <w:spacing w:after="60"/>
      </w:pPr>
      <w:r>
        <w:rPr>
          <w:rFonts w:ascii="Arial" w:cs="Arial" w:eastAsia="Arial" w:hAnsi="Arial"/>
          <w:sz w:val="20"/>
          <w:szCs w:val="20"/>
        </w:rPr>
        <w:t xml:space="preserve">Does Segat have any existing relationship with Praemia REIM or Praemia REIM Care management? Can Segat confirm the identity of the CFO and Head of Capital Markets?</w:t>
      </w:r>
    </w:p>
    <w:p>
      <w:pPr>
        <w:pStyle w:val="ListParagraph"/>
        <w:numPr>
          <w:ilvl w:val="0"/>
          <w:numId w:val="2"/>
        </w:numPr>
        <w:spacing w:after="60"/>
      </w:pPr>
      <w:r>
        <w:rPr>
          <w:rFonts w:ascii="Arial" w:cs="Arial" w:eastAsia="Arial" w:hAnsi="Arial"/>
          <w:sz w:val="20"/>
          <w:szCs w:val="20"/>
        </w:rPr>
        <w:t xml:space="preserve">Has Segat encountered any appetite from French healthcare PropCos for long-dated (15–25yr) institutional term loans as an alternative to the rolling bond/bilateral model?</w:t>
      </w:r>
    </w:p>
    <w:p>
      <w:pPr>
        <w:pStyle w:val="ListParagraph"/>
        <w:numPr>
          <w:ilvl w:val="0"/>
          <w:numId w:val="2"/>
        </w:numPr>
        <w:spacing w:after="60"/>
      </w:pPr>
      <w:r>
        <w:rPr>
          <w:rFonts w:ascii="Arial" w:cs="Arial" w:eastAsia="Arial" w:hAnsi="Arial"/>
          <w:sz w:val="20"/>
          <w:szCs w:val="20"/>
        </w:rPr>
        <w:t xml:space="preserve">What is Segat’s view on Praemia’s willingness to establish a ring-fenced SPV for a secured facility? Is this consistent with their governance model and Euronext bond programme?</w:t>
      </w:r>
    </w:p>
    <w:p>
      <w:pPr>
        <w:pStyle w:val="ListParagraph"/>
        <w:numPr>
          <w:ilvl w:val="0"/>
          <w:numId w:val="2"/>
        </w:numPr>
        <w:spacing w:after="60"/>
      </w:pPr>
      <w:r>
        <w:rPr>
          <w:rFonts w:ascii="Arial" w:cs="Arial" w:eastAsia="Arial" w:hAnsi="Arial"/>
          <w:sz w:val="20"/>
          <w:szCs w:val="20"/>
        </w:rPr>
        <w:t xml:space="preserve">Can Segat identify any upcoming greenfield hospital developments or portfolio restructuring where a Ground Debt / bail emphytéotique structure could be introduced from inception?</w:t>
      </w:r>
    </w:p>
    <w:p>
      <w:r>
        <w:br w:type="page"/>
      </w:r>
    </w:p>
    <w:p>
      <w:pPr>
        <w:spacing w:after="120" w:before="300"/>
      </w:pPr>
      <w:r>
        <w:rPr>
          <w:rFonts w:ascii="Arial" w:cs="Arial" w:eastAsia="Arial" w:hAnsi="Arial"/>
          <w:b/>
          <w:bCs/>
          <w:color w:val="1C2237"/>
          <w:sz w:val="24"/>
          <w:szCs w:val="24"/>
        </w:rPr>
        <w:t xml:space="preserve">7. Key Risks and Diligence Items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426"/>
      </w:tblGrid>
      <w:tr>
        <w:tc>
          <w:tcPr>
            <w:tcW w:type="dxa" w:w="1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Risk</w:t>
            </w:r>
          </w:p>
        </w:tc>
        <w:tc>
          <w:tcPr>
            <w:tcW w:type="dxa" w:w="3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Description</w:t>
            </w:r>
          </w:p>
        </w:tc>
        <w:tc>
          <w:tcPr>
            <w:tcW w:type="dxa" w:w="34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Where Segat’s Expertise Helps</w:t>
            </w:r>
          </w:p>
        </w:tc>
      </w:tr>
      <w:tr>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1. LTV trajectory and rating pressure</w:t>
            </w:r>
          </w:p>
        </w:tc>
        <w:tc>
          <w:tcPr>
            <w:tcW w:type="dxa" w:w="3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LTV has risen from 38.9% (YE2023) to 41.0% (H1 2025). The Dec 2025 bond refinancing (net +€350m (€500m issued minus €150m tendered)) may push YE2025 LTV higher. Management targets ~40% as consistent with BBB; material upward drift could prompt S&amp;P to revise its outlook. Any new unsecured facility at corporate level risks exacerbating this.</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 can assess whether Praemia management is aware of rating pressure and open to SPV structures that ring-fence new debt.</w:t>
            </w:r>
          </w:p>
        </w:tc>
      </w:tr>
      <w:tr>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2. Bond covenant / negative pledge</w:t>
            </w:r>
          </w:p>
        </w:tc>
        <w:tc>
          <w:tcPr>
            <w:tcW w:type="dxa" w:w="3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Four outstanding unsecured bonds on Euronext Paris. Prospectus-level review of negative pledge, pari passu, permitted lien baskets, and cross-default provisions is required before any secured facility can be structured. This is non-negotiable.</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Segat’s capital markets relationships can help gauge arranger and bondholder appetite for a consent or waiver process.</w:t>
            </w:r>
          </w:p>
        </w:tc>
      </w:tr>
      <w:tr>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3. Healthcare asset transfer complexity</w:t>
            </w:r>
          </w:p>
        </w:tc>
        <w:tc>
          <w:tcPr>
            <w:tcW w:type="dxa" w:w="3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SPV transfer of MCO freeholds requires: (a) operator lease consent under existing bail commercial; (b) potential ARS regulatory authorisation; (c) SIIC/tax status implications of intra-group transfer. Transfer friction and timeline should not be underestimated.</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Segat’s healthcare sector network can provide clarity on ARS consent timelines, operator appetite, and precedent.</w:t>
            </w:r>
          </w:p>
        </w:tc>
      </w:tr>
      <w:tr>
        <w:tc>
          <w:tcPr>
            <w:tcW w:type="dxa" w:w="1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4. ILAT-to-fixed conversion</w:t>
            </w:r>
          </w:p>
        </w:tc>
        <w:tc>
          <w:tcPr>
            <w:tcW w:type="dxa" w:w="3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French commercial healthcare leases are ILAT-indexed. Converting to fixed uplifts for a secured facility faces legal constraints under Article L.112-2 of the Monetary Code. Requires bilateral operator consent and legal restructuring at lease level.</w:t>
            </w:r>
          </w:p>
        </w:tc>
        <w:tc>
          <w:tcPr>
            <w:tcW w:type="dxa" w:w="34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Segat can advise on market precedent for hybrid indexation structures in French healthcare property finance.</w:t>
            </w:r>
          </w:p>
        </w:tc>
      </w:tr>
      <w:tr>
        <w:tc>
          <w:tcPr>
            <w:tcW w:type="dxa" w:w="1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5. Refinancing cost trajectory</w:t>
            </w:r>
          </w:p>
        </w:tc>
        <w:tc>
          <w:tcPr>
            <w:tcW w:type="dxa" w:w="3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Blended cost of debt is rising (2.51% → 2.73% in 6 months) as cheap 2019–2020 bonds roll off. ICR has declined from 5.67x (H1 2024) to 5.20x (H1 2025). A 20-year facility at ~5.5% adds to cost but eliminates long-term refinancing risk. Management appetite for a higher fixed rate needs testing.</w:t>
            </w:r>
          </w:p>
        </w:tc>
        <w:tc>
          <w:tcPr>
            <w:tcW w:type="dxa" w:w="34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Segat can help position the tenor and rate argument as a strategic advantage against rolling refinancing exposure.</w:t>
            </w:r>
          </w:p>
        </w:tc>
      </w:tr>
    </w:tbl>
    <w:p>
      <w:pPr>
        <w:spacing w:after="120" w:before="300"/>
      </w:pPr>
      <w:r>
        <w:rPr>
          <w:rFonts w:ascii="Arial" w:cs="Arial" w:eastAsia="Arial" w:hAnsi="Arial"/>
          <w:b/>
          <w:bCs/>
          <w:color w:val="1C2237"/>
          <w:sz w:val="24"/>
          <w:szCs w:val="24"/>
        </w:rPr>
        <w:t xml:space="preserve">8. Indicative Timeline and Next Steps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4800"/>
        <w:gridCol w:w="2226"/>
      </w:tblGrid>
      <w:tr>
        <w:tc>
          <w:tcPr>
            <w:tcW w:type="dxa" w:w="20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Phase</w:t>
            </w:r>
          </w:p>
        </w:tc>
        <w:tc>
          <w:tcPr>
            <w:tcW w:type="dxa" w:w="4800"/>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Activities</w:t>
            </w:r>
          </w:p>
        </w:tc>
        <w:tc>
          <w:tcPr>
            <w:tcW w:type="dxa" w:w="2226"/>
            <w:tcBorders>
              <w:top w:val="single" w:color="BFBFBF" w:sz="1"/>
              <w:left w:val="single" w:color="BFBFBF" w:sz="1"/>
              <w:bottom w:val="single" w:color="BFBFBF" w:sz="1"/>
              <w:right w:val="single" w:color="BFBFBF" w:sz="1"/>
            </w:tcBorders>
            <w:shd w:fill="1C2237" w:val="clear"/>
            <w:tcMar>
              <w:top w:type="dxa" w:w="50"/>
              <w:left w:type="dxa" w:w="80"/>
              <w:bottom w:type="dxa" w:w="50"/>
              <w:right w:type="dxa" w:w="80"/>
            </w:tcMar>
          </w:tcPr>
          <w:p>
            <w:r>
              <w:rPr>
                <w:rFonts w:ascii="Arial" w:cs="Arial" w:eastAsia="Arial" w:hAnsi="Arial"/>
                <w:b/>
                <w:bCs/>
                <w:color w:val="FFFFFF"/>
                <w:sz w:val="18"/>
                <w:szCs w:val="18"/>
              </w:rPr>
              <w:t xml:space="preserve">Indicative Duration</w:t>
            </w:r>
          </w:p>
        </w:tc>
      </w:tr>
      <w:tr>
        <w:tc>
          <w:tcPr>
            <w:tcW w:type="dxa" w:w="2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Phase 1: Legal &amp; Covenant Diligence</w:t>
            </w:r>
          </w:p>
        </w:tc>
        <w:tc>
          <w:tcPr>
            <w:tcW w:type="dxa" w:w="4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Obtain and review Praemia bond prospectuses (negative pledge, permitted liens). Confirm FY2025 LTV from Feb 2026 press release. Assess SPV non-consolidation treatment. Engage Paris counsel on ILAT/fixed conversion and ARS consent requirements.</w:t>
            </w:r>
          </w:p>
        </w:tc>
        <w:tc>
          <w:tcPr>
            <w:tcW w:type="dxa" w:w="2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2–3 months</w:t>
            </w:r>
          </w:p>
        </w:tc>
      </w:tr>
      <w:tr>
        <w:tc>
          <w:tcPr>
            <w:tcW w:type="dxa" w:w="20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bCs/>
                <w:color w:val="333333"/>
                <w:sz w:val="18"/>
                <w:szCs w:val="18"/>
              </w:rPr>
              <w:t xml:space="preserve">Phase 2: Approach &amp; Engagement</w:t>
            </w:r>
          </w:p>
        </w:tc>
        <w:tc>
          <w:tcPr>
            <w:tcW w:type="dxa" w:w="4800"/>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Initial approach to Praemia REIM Care management (via Segat network). Present SPV Senior Secured Term Loan concept. Test appetite and governance process. Identify ring-fenced MCO freehold pool. Obtain WAULT and lease-level data on target assets.</w:t>
            </w:r>
          </w:p>
        </w:tc>
        <w:tc>
          <w:tcPr>
            <w:tcW w:type="dxa" w:w="2226"/>
            <w:tcBorders>
              <w:top w:val="single" w:color="BFBFBF" w:sz="1"/>
              <w:left w:val="single" w:color="BFBFBF" w:sz="1"/>
              <w:bottom w:val="single" w:color="BFBFBF" w:sz="1"/>
              <w:right w:val="single" w:color="BFBFBF" w:sz="1"/>
            </w:tcBorders>
            <w:tcMar>
              <w:top w:type="dxa" w:w="50"/>
              <w:left w:type="dxa" w:w="80"/>
              <w:bottom w:type="dxa" w:w="50"/>
              <w:right w:type="dxa" w:w="80"/>
            </w:tcMar>
          </w:tcPr>
          <w:p>
            <w:r>
              <w:rPr>
                <w:rFonts w:ascii="Arial" w:cs="Arial" w:eastAsia="Arial" w:hAnsi="Arial"/>
                <w:b w:val="false"/>
                <w:bCs w:val="false"/>
                <w:color w:val="333333"/>
                <w:sz w:val="18"/>
                <w:szCs w:val="18"/>
              </w:rPr>
              <w:t xml:space="preserve">2–3 months</w:t>
            </w:r>
          </w:p>
        </w:tc>
      </w:tr>
      <w:tr>
        <w:tc>
          <w:tcPr>
            <w:tcW w:type="dxa" w:w="20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bCs/>
                <w:color w:val="333333"/>
                <w:sz w:val="18"/>
                <w:szCs w:val="18"/>
              </w:rPr>
              <w:t xml:space="preserve">Phase 3: Execution</w:t>
            </w:r>
          </w:p>
        </w:tc>
        <w:tc>
          <w:tcPr>
            <w:tcW w:type="dxa" w:w="4800"/>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Obtain arranging bank consent / bondholder waiver. Structure SPV and transfer assets. Non-consolidation legal opinion. Operator and ARS consents. Term sheet negotiation. Insurance consortium assembly. Financial close.</w:t>
            </w:r>
          </w:p>
        </w:tc>
        <w:tc>
          <w:tcPr>
            <w:tcW w:type="dxa" w:w="2226"/>
            <w:tcBorders>
              <w:top w:val="single" w:color="BFBFBF" w:sz="1"/>
              <w:left w:val="single" w:color="BFBFBF" w:sz="1"/>
              <w:bottom w:val="single" w:color="BFBFBF" w:sz="1"/>
              <w:right w:val="single" w:color="BFBFBF" w:sz="1"/>
            </w:tcBorders>
            <w:shd w:fill="F2F4F8" w:val="clear"/>
            <w:tcMar>
              <w:top w:type="dxa" w:w="50"/>
              <w:left w:type="dxa" w:w="80"/>
              <w:bottom w:type="dxa" w:w="50"/>
              <w:right w:type="dxa" w:w="80"/>
            </w:tcMar>
          </w:tcPr>
          <w:p>
            <w:r>
              <w:rPr>
                <w:rFonts w:ascii="Arial" w:cs="Arial" w:eastAsia="Arial" w:hAnsi="Arial"/>
                <w:b w:val="false"/>
                <w:bCs w:val="false"/>
                <w:color w:val="333333"/>
                <w:sz w:val="18"/>
                <w:szCs w:val="18"/>
              </w:rPr>
              <w:t xml:space="preserve">4–6 months</w:t>
            </w:r>
          </w:p>
        </w:tc>
      </w:tr>
    </w:tbl>
    <w:p>
      <w:pPr>
        <w:spacing w:after="100"/>
      </w:pPr>
    </w:p>
    <w:p>
      <w:pPr>
        <w:spacing w:after="60" w:before="180"/>
      </w:pPr>
      <w:r>
        <w:rPr>
          <w:rFonts w:ascii="Arial" w:cs="Arial" w:eastAsia="Arial" w:hAnsi="Arial"/>
          <w:b/>
          <w:bCs/>
          <w:color w:val="1C2237"/>
          <w:sz w:val="20"/>
          <w:szCs w:val="20"/>
        </w:rPr>
        <w:t xml:space="preserve">GCCP Requests of Segat:</w:t>
      </w:r>
    </w:p>
    <w:p>
      <w:pPr>
        <w:pStyle w:val="ListParagraph"/>
        <w:numPr>
          <w:ilvl w:val="0"/>
          <w:numId w:val="2"/>
        </w:numPr>
        <w:spacing w:after="60"/>
      </w:pPr>
      <w:r>
        <w:rPr>
          <w:rFonts w:ascii="Arial" w:cs="Arial" w:eastAsia="Arial" w:hAnsi="Arial"/>
          <w:sz w:val="20"/>
          <w:szCs w:val="20"/>
        </w:rPr>
        <w:t xml:space="preserve">Introduction to Praemia REIM Care’s CFO or Head of Capital Markets / Treasury, or identification of the appropriate initial contact for an institutional term loan conversation.</w:t>
      </w:r>
    </w:p>
    <w:p>
      <w:pPr>
        <w:pStyle w:val="ListParagraph"/>
        <w:numPr>
          <w:ilvl w:val="0"/>
          <w:numId w:val="2"/>
        </w:numPr>
        <w:spacing w:after="60"/>
      </w:pPr>
      <w:r>
        <w:rPr>
          <w:rFonts w:ascii="Arial" w:cs="Arial" w:eastAsia="Arial" w:hAnsi="Arial"/>
          <w:sz w:val="20"/>
          <w:szCs w:val="20"/>
        </w:rPr>
        <w:t xml:space="preserve">View on Praemia’s appetite for a ring-fenced SPV structure: is this consistent with their governance model and existing Euronext bond programme?</w:t>
      </w:r>
    </w:p>
    <w:p>
      <w:pPr>
        <w:pStyle w:val="ListParagraph"/>
        <w:numPr>
          <w:ilvl w:val="0"/>
          <w:numId w:val="2"/>
        </w:numPr>
        <w:spacing w:after="60"/>
      </w:pPr>
      <w:r>
        <w:rPr>
          <w:rFonts w:ascii="Arial" w:cs="Arial" w:eastAsia="Arial" w:hAnsi="Arial"/>
          <w:sz w:val="20"/>
          <w:szCs w:val="20"/>
        </w:rPr>
        <w:t xml:space="preserve">Intelligence on any upcoming Praemia portfolio restructuring, greenfield hospital developments, or asset disposals that could create a natural entry point for a long-dated secured facility or Ground Debt structure.</w:t>
      </w:r>
    </w:p>
    <w:p>
      <w:pPr>
        <w:spacing w:after="200"/>
      </w:pPr>
    </w:p>
    <w:p>
      <w:pPr>
        <w:shd w:fill="F2F4F8" w:val="clear"/>
        <w:spacing w:before="200"/>
      </w:pPr>
      <w:r>
        <w:rPr>
          <w:rFonts w:ascii="Arial" w:cs="Arial" w:eastAsia="Arial" w:hAnsi="Arial"/>
          <w:i/>
          <w:iCs/>
          <w:color w:val="4A4F5C"/>
          <w:sz w:val="16"/>
          <w:szCs w:val="16"/>
        </w:rPr>
        <w:t xml:space="preserve">This document is prepared by Grand Canal Capital Partners as a market-sounding hypothesis for Segat’s internal use only. It is not a concluded credit view. It contains GCCP’s preliminary assessment based on publicly available information including Praemia Healthcare press releases, condensed consolidated financial statements, bond prospectuses, and official investor communications. All estimates require independent verification. GCCP Lead: Aaron Sherlock (aaron@gccapitalpartners.ie) / Dave Murray.</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C2237" w:sz="4" w:space="4"/>
      </w:pBdr>
      <w:jc w:val="center"/>
    </w:pPr>
    <w:r>
      <w:rPr>
        <w:rFonts w:ascii="Arial" w:cs="Arial" w:eastAsia="Arial" w:hAnsi="Arial"/>
        <w:color w:val="4A4F5C"/>
        <w:sz w:val="14"/>
        <w:szCs w:val="14"/>
      </w:rPr>
      <w:t xml:space="preserve">Confidential | Prepared for Segat | Grand Canal Capital Partners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4A4F5C"/>
        <w:sz w:val="16"/>
        <w:szCs w:val="16"/>
      </w:rPr>
      <w:t xml:space="preserve">FR-HC-01 | Praemia Healthcare | Target Research Note | v3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79047a68108d7500ec5915a7195f5df076fa54b.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2026-04-03T10:37:25.898Z</dcterms:created>
  <dcterms:modified xsi:type="dcterms:W3CDTF">2026-04-03T10:37:25.899Z</dcterms:modified>
</cp:coreProperties>
</file>

<file path=docProps/custom.xml><?xml version="1.0" encoding="utf-8"?>
<Properties xmlns="http://schemas.openxmlformats.org/officeDocument/2006/custom-properties" xmlns:vt="http://schemas.openxmlformats.org/officeDocument/2006/docPropsVTypes"/>
</file>